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EXPEDIENTE B: ¿MERCADO CERRADO?</w:t>
      </w:r>
    </w:p>
    <w:p>
      <w:pPr>
        <w:spacing w:after="160"/>
        <w:jc w:val="center"/>
      </w:pPr>
      <w:r>
        <w:rPr>
          <w:color w:val="595959"/>
          <w:sz w:val="17"/>
          <w:szCs w:val="17"/>
        </w:rPr>
        <w:t xml:space="preserve">Reporte Semana 2 - Equipo 3 - Data Analytics - Xavier Bravo, Carlos Mancilla y Esteban Vallejo</w:t>
      </w:r>
    </w:p>
    <w:p>
      <w:pPr>
        <w:spacing w:after="100"/>
      </w:pPr>
      <w:r>
        <w:rPr>
          <w:b/>
          <w:bCs/>
          <w:sz w:val="17"/>
          <w:szCs w:val="17"/>
        </w:rPr>
        <w:t xml:space="preserve">Pregunta central: </w:t>
      </w:r>
      <w:r>
        <w:rPr>
          <w:i/>
          <w:iCs/>
          <w:sz w:val="17"/>
          <w:szCs w:val="17"/>
        </w:rPr>
        <w:t xml:space="preserve">con el universo completo de 23 tipos de contrato, ¿en cuáles se concentra el valor contratado en pocos proveedores, y qué proveedores explican esa concentración?</w:t>
      </w:r>
    </w:p>
    <w:tbl>
      <w:tblPr>
        <w:tblW w:type="dxa" w:w="7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500"/>
        <w:gridCol w:w="2000"/>
        <w:gridCol w:w="1750"/>
        <w:gridCol w:w="2100"/>
      </w:tblGrid>
      <w:tr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Nicho</w:t>
            </w:r>
          </w:p>
        </w:tc>
        <w:tc>
          <w:tcPr>
            <w:tcW w:type="dxa" w:w="2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Proveedor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</w:t>
            </w:r>
          </w:p>
        </w:tc>
        <w:tc>
          <w:tcPr>
            <w:tcW w:type="dxa" w:w="21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Concentración elevada</w:t>
            </w:r>
          </w:p>
        </w:tc>
      </w:tr>
      <w:tr>
        <w:tc>
          <w:tcPr>
            <w:tcW w:type="dxa" w:w="1500"/>
            <w:shd w:fill="F2F6FB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tipo_de_contrato</w:t>
            </w:r>
          </w:p>
        </w:tc>
        <w:tc>
          <w:tcPr>
            <w:tcW w:type="dxa" w:w="2000"/>
            <w:shd w:fill="F2F6FB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documento_proveedor (NIT)</w:t>
            </w:r>
          </w:p>
        </w:tc>
        <w:tc>
          <w:tcPr>
            <w:tcW w:type="dxa" w:w="1750"/>
            <w:shd w:fill="F2F6FB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valor_del_contrato</w:t>
            </w:r>
          </w:p>
        </w:tc>
        <w:tc>
          <w:tcPr>
            <w:tcW w:type="dxa" w:w="2100"/>
            <w:shd w:fill="F2F6FB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Top5 ≥ 50% o Top10 ≥ 70%</w:t>
            </w:r>
          </w:p>
        </w:tc>
      </w:tr>
    </w:tbl>
    <w:p>
      <w:pPr>
        <w:spacing w:after="100"/>
      </w:pPr>
    </w:p>
    <w:p>
      <w:pPr>
        <w:spacing w:after="20" w:before="120"/>
      </w:pPr>
      <w:r>
        <w:rPr>
          <w:b/>
          <w:bCs/>
          <w:sz w:val="16"/>
          <w:szCs w:val="16"/>
        </w:rPr>
        <w:t xml:space="preserve">Recorte: </w:t>
      </w:r>
      <w:r>
        <w:rPr>
          <w:sz w:val="16"/>
          <w:szCs w:val="16"/>
        </w:rPr>
        <w:t xml:space="preserve">567.075 contratos - 393 entidades - 252.681 proveedores (NIT) - periodo 2 ene 2024-31 dic 2025 - 23 tipos de contrato.</w:t>
      </w:r>
    </w:p>
    <w:p>
      <w:pPr>
        <w:spacing w:after="160"/>
      </w:pPr>
      <w:r>
        <w:rPr>
          <w:b/>
          <w:bCs/>
          <w:sz w:val="16"/>
          <w:szCs w:val="16"/>
        </w:rPr>
        <w:t xml:space="preserve">Calidad: </w:t>
      </w:r>
      <w:r>
        <w:rPr>
          <w:sz w:val="16"/>
          <w:szCs w:val="16"/>
        </w:rPr>
        <w:t xml:space="preserve">Valor total analizado ≈ $118,04 billones. Valor máximo individual: $4.205.027.751.839 (GECELCA S.A. E.S.P., tipo Otro) — revisado y no eliminado del universo.</w:t>
      </w:r>
    </w:p>
    <w:p>
      <w:pPr>
        <w:spacing w:after="120"/>
        <w:jc w:val="center"/>
      </w:pPr>
      <w:r>
        <w:rPr>
          <w:b/>
          <w:bCs/>
          <w:color w:val="1F3864"/>
          <w:sz w:val="20"/>
          <w:szCs w:val="20"/>
        </w:rPr>
        <w:t xml:space="preserve">Evidencia - E1, E2, E3</w:t>
      </w:r>
    </w:p>
    <w:tbl>
      <w:tblPr>
        <w:tblW w:type="dxa" w:w="100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50"/>
        <w:gridCol w:w="3350"/>
        <w:gridCol w:w="3350"/>
      </w:tblGrid>
      <w:tr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E1 - Valor por tipo</w:t>
            </w:r>
          </w:p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095500" cy="1038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 xml:space="preserve">Valor contractual por tipo de contrato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Cifra clave: </w:t>
            </w:r>
            <w:r>
              <w:rPr>
                <w:sz w:val="14"/>
                <w:szCs w:val="14"/>
              </w:rPr>
              <w:t xml:space="preserve">Otro y Prestación de servicios concentran el 73,7 % del valor total (23 tipos).</w:t>
            </w:r>
          </w:p>
        </w:tc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E2 - N.º de proveedores</w:t>
            </w:r>
          </w:p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095500" cy="1038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 xml:space="preserve">Proveedores distintos por tipo de contrato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Cifra clave: </w:t>
            </w:r>
            <w:r>
              <w:rPr>
                <w:sz w:val="14"/>
                <w:szCs w:val="14"/>
              </w:rPr>
              <w:t xml:space="preserve">Prestación de servicios: 237.163 proveedores, Top5 = 7,99 % (el más bajo).</w:t>
            </w:r>
          </w:p>
        </w:tc>
        <w:tc>
          <w:tcPr>
            <w:tcW w:type="dxa" w:w="3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E3 - Concentración Top5/Top10</w:t>
            </w:r>
          </w:p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095500" cy="1038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595959"/>
                <w:sz w:val="13"/>
                <w:szCs w:val="13"/>
              </w:rPr>
              <w:t xml:space="preserve">Participación de Top5 y Top10 por tipo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Cifra clave: </w:t>
            </w:r>
            <w:r>
              <w:rPr>
                <w:sz w:val="14"/>
                <w:szCs w:val="14"/>
              </w:rPr>
              <w:t xml:space="preserve">13 de 23 tipos (56,5 %) superan el criterio de concentración elevada.</w:t>
            </w:r>
          </w:p>
        </w:tc>
      </w:tr>
    </w:tbl>
    <w:p>
      <w:pPr>
        <w:spacing w:after="160"/>
      </w:pPr>
    </w:p>
    <w:p>
      <w:pPr>
        <w:spacing w:after="100"/>
        <w:jc w:val="center"/>
      </w:pPr>
      <w:r>
        <w:rPr>
          <w:b/>
          <w:bCs/>
          <w:color w:val="1F3864"/>
          <w:sz w:val="18"/>
          <w:szCs w:val="18"/>
        </w:rPr>
        <w:t xml:space="preserve">Proveedores principales en los 13 nichos con concentración elevada</w:t>
      </w:r>
    </w:p>
    <w:tbl>
      <w:tblPr>
        <w:tblW w:type="dxa" w:w="10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50"/>
        <w:gridCol w:w="505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tbl>
            <w:tblPr>
              <w:tblW w:type="dxa" w:w="5000"/>
              <w:tblBorders>
                <w:top w:val="single" w:color="999999" w:sz="4"/>
                <w:left w:val="single" w:color="999999" w:sz="4"/>
                <w:bottom w:val="single" w:color="999999" w:sz="4"/>
                <w:right w:val="single" w:color="999999" w:sz="4"/>
                <w:insideH w:val="single" w:color="CCCCCC" w:sz="2"/>
                <w:insideV w:val="single" w:color="CCCCCC" w:sz="2"/>
              </w:tblBorders>
            </w:tblPr>
            <w:tblGrid>
              <w:gridCol w:w="1550"/>
              <w:gridCol w:w="2650"/>
              <w:gridCol w:w="800"/>
            </w:tblGrid>
            <w:tr>
              <w:tc>
                <w:tcPr>
                  <w:tcW w:type="dxa" w:w="1550"/>
                  <w:shd w:fill="1F3864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Tipo de contrato</w:t>
                  </w:r>
                </w:p>
              </w:tc>
              <w:tc>
                <w:tcPr>
                  <w:tcW w:type="dxa" w:w="2650"/>
                  <w:shd w:fill="1F3864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Proveedor principal</w:t>
                  </w:r>
                </w:p>
              </w:tc>
              <w:tc>
                <w:tcPr>
                  <w:tcW w:type="dxa" w:w="800"/>
                  <w:shd w:fill="1F3864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Part.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Concesión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Sevial S.A.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100,00 %</w:t>
                  </w:r>
                </w:p>
              </w:tc>
            </w:tr>
            <w:tr>
              <w:tc>
                <w:tcPr>
                  <w:tcW w:type="dxa" w:w="15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No Definido</w:t>
                  </w:r>
                </w:p>
              </w:tc>
              <w:tc>
                <w:tcPr>
                  <w:tcW w:type="dxa" w:w="26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Blanco Forero Jilber Orlando</w:t>
                  </w:r>
                </w:p>
              </w:tc>
              <w:tc>
                <w:tcPr>
                  <w:tcW w:type="dxa" w:w="80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98,57 %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Venta inmuebles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Carlos Vidaul Cadena Ríos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79,49 %</w:t>
                  </w:r>
                </w:p>
              </w:tc>
            </w:tr>
            <w:tr>
              <w:tc>
                <w:tcPr>
                  <w:tcW w:type="dxa" w:w="15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Negocio fiduciario</w:t>
                  </w:r>
                </w:p>
              </w:tc>
              <w:tc>
                <w:tcPr>
                  <w:tcW w:type="dxa" w:w="26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Fiduprevisora S.A</w:t>
                  </w:r>
                </w:p>
              </w:tc>
              <w:tc>
                <w:tcPr>
                  <w:tcW w:type="dxa" w:w="80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75,34 %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Venta muebles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Recuperaciones Naranjo Recycling SAS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69,90 %</w:t>
                  </w:r>
                </w:p>
              </w:tc>
            </w:tr>
            <w:tr>
              <w:tc>
                <w:tcPr>
                  <w:tcW w:type="dxa" w:w="15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Asociación Público Privada</w:t>
                  </w:r>
                </w:p>
              </w:tc>
              <w:tc>
                <w:tcPr>
                  <w:tcW w:type="dxa" w:w="26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Pagos Automáticos de Colombia S.A.S</w:t>
                  </w:r>
                </w:p>
              </w:tc>
              <w:tc>
                <w:tcPr>
                  <w:tcW w:type="dxa" w:w="80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69,20 %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Comodato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Alcaldía Municipio de Nocaima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68,75 %</w:t>
                  </w:r>
                </w:p>
              </w:tc>
            </w:tr>
          </w:tbl>
          <w:p/>
        </w:tc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tbl>
            <w:tblPr>
              <w:tblW w:type="dxa" w:w="5000"/>
              <w:tblBorders>
                <w:top w:val="single" w:color="999999" w:sz="4"/>
                <w:left w:val="single" w:color="999999" w:sz="4"/>
                <w:bottom w:val="single" w:color="999999" w:sz="4"/>
                <w:right w:val="single" w:color="999999" w:sz="4"/>
                <w:insideH w:val="single" w:color="CCCCCC" w:sz="2"/>
                <w:insideV w:val="single" w:color="CCCCCC" w:sz="2"/>
              </w:tblBorders>
            </w:tblPr>
            <w:tblGrid>
              <w:gridCol w:w="1550"/>
              <w:gridCol w:w="2650"/>
              <w:gridCol w:w="800"/>
            </w:tblGrid>
            <w:tr>
              <w:tc>
                <w:tcPr>
                  <w:tcW w:type="dxa" w:w="1550"/>
                  <w:shd w:fill="1F3864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Tipo de contrato</w:t>
                  </w:r>
                </w:p>
              </w:tc>
              <w:tc>
                <w:tcPr>
                  <w:tcW w:type="dxa" w:w="2650"/>
                  <w:shd w:fill="1F3864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Proveedor principal</w:t>
                  </w:r>
                </w:p>
              </w:tc>
              <w:tc>
                <w:tcPr>
                  <w:tcW w:type="dxa" w:w="800"/>
                  <w:shd w:fill="1F3864" w:color="auto" w:val="clear"/>
                  <w:tcMar>
                    <w:top w:type="dxa" w:w="30"/>
                    <w:left w:type="dxa" w:w="50"/>
                    <w:bottom w:type="dxa" w:w="30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3"/>
                      <w:szCs w:val="13"/>
                    </w:rPr>
                    <w:t xml:space="preserve">Part.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Servicios financieros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Fondo Financ. Sector Agropecuario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50,44 %</w:t>
                  </w:r>
                </w:p>
              </w:tc>
            </w:tr>
            <w:tr>
              <w:tc>
                <w:tcPr>
                  <w:tcW w:type="dxa" w:w="15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Acuerdo Marco de Precios</w:t>
                  </w:r>
                </w:p>
              </w:tc>
              <w:tc>
                <w:tcPr>
                  <w:tcW w:type="dxa" w:w="26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Faster Fuel SAS</w:t>
                  </w:r>
                </w:p>
              </w:tc>
              <w:tc>
                <w:tcPr>
                  <w:tcW w:type="dxa" w:w="80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50,22 %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Operaciones de Crédito Público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Depósito Centralizado de Valores de Col.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46,77 %</w:t>
                  </w:r>
                </w:p>
              </w:tc>
            </w:tr>
            <w:tr>
              <w:tc>
                <w:tcPr>
                  <w:tcW w:type="dxa" w:w="15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Comisión</w:t>
                  </w:r>
                </w:p>
              </w:tc>
              <w:tc>
                <w:tcPr>
                  <w:tcW w:type="dxa" w:w="26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correagro</w:t>
                  </w:r>
                </w:p>
              </w:tc>
              <w:tc>
                <w:tcPr>
                  <w:tcW w:type="dxa" w:w="80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36,91 %</w:t>
                  </w:r>
                </w:p>
              </w:tc>
            </w:tr>
            <w:tr>
              <w:tc>
                <w:tcPr>
                  <w:tcW w:type="dxa" w:w="15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Seguros</w:t>
                  </w:r>
                </w:p>
              </w:tc>
              <w:tc>
                <w:tcPr>
                  <w:tcW w:type="dxa" w:w="265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La Previsora S.A. Cía. de Seguros</w:t>
                  </w:r>
                </w:p>
              </w:tc>
              <w:tc>
                <w:tcPr>
                  <w:tcW w:type="dxa" w:w="800"/>
                  <w:shd w:fill="FFFFFF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28,38 %</w:t>
                  </w:r>
                </w:p>
              </w:tc>
            </w:tr>
            <w:tr>
              <w:tc>
                <w:tcPr>
                  <w:tcW w:type="dxa" w:w="15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Arrendamiento de muebles</w:t>
                  </w:r>
                </w:p>
              </w:tc>
              <w:tc>
                <w:tcPr>
                  <w:tcW w:type="dxa" w:w="265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left"/>
                  </w:pPr>
                  <w:r>
                    <w:rPr>
                      <w:sz w:val="13"/>
                      <w:szCs w:val="13"/>
                    </w:rPr>
                    <w:t xml:space="preserve">Sumimas S.A.S</w:t>
                  </w:r>
                </w:p>
              </w:tc>
              <w:tc>
                <w:tcPr>
                  <w:tcW w:type="dxa" w:w="800"/>
                  <w:shd w:fill="F2F6FB" w:color="auto" w:val="clear"/>
                  <w:tcMar>
                    <w:top w:type="dxa" w:w="26"/>
                    <w:left w:type="dxa" w:w="50"/>
                    <w:bottom w:type="dxa" w:w="26"/>
                    <w:right w:type="dxa" w:w="50"/>
                  </w:tcMar>
                </w:tcPr>
                <w:p>
                  <w:pPr>
                    <w:jc w:val="center"/>
                  </w:pPr>
                  <w:r>
                    <w:rPr>
                      <w:sz w:val="13"/>
                      <w:szCs w:val="13"/>
                    </w:rPr>
                    <w:t xml:space="preserve">26,71 %</w:t>
                  </w:r>
                </w:p>
              </w:tc>
            </w:tr>
          </w:tbl>
          <w:p/>
        </w:tc>
      </w:tr>
    </w:tbl>
    <w:p>
      <w:pPr>
        <w:spacing w:after="180"/>
      </w:pPr>
    </w:p>
    <w:p>
      <w:pPr>
        <w:spacing w:after="100"/>
        <w:jc w:val="center"/>
      </w:pPr>
      <w:r>
        <w:rPr>
          <w:b/>
          <w:bCs/>
          <w:color w:val="1F3864"/>
          <w:sz w:val="20"/>
          <w:szCs w:val="20"/>
        </w:rPr>
        <w:t xml:space="preserve">Lo que Semana 2 sí permite afirmar / todavía NO</w:t>
      </w:r>
    </w:p>
    <w:tbl>
      <w:tblPr>
        <w:tblW w:type="dxa" w:w="100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30"/>
        <w:gridCol w:w="5030"/>
      </w:tblGrid>
      <w:tr>
        <w:tc>
          <w:tcPr>
            <w:tcW w:type="dxa" w:w="5030"/>
            <w:tcBorders>
              <w:top w:val="single" w:color="BFE0C8" w:sz="4"/>
              <w:left w:val="single" w:color="BFE0C8" w:sz="4"/>
              <w:bottom w:val="single" w:color="BFE0C8" w:sz="4"/>
              <w:right w:val="single" w:color="BFE0C8" w:sz="4"/>
            </w:tcBorders>
            <w:shd w:fill="E7F3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E7145"/>
                <w:sz w:val="17"/>
                <w:szCs w:val="17"/>
              </w:rPr>
              <w:t xml:space="preserve">SÍ se puede afirmar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5"/>
                <w:szCs w:val="15"/>
              </w:rPr>
              <w:t xml:space="preserve">La concentración se mantiene en 13 de 23 nichos, igual que en Semana 1.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5"/>
                <w:szCs w:val="15"/>
              </w:rPr>
              <w:t xml:space="preserve">Los nichos de mayor valor (Otro, Prestación de servicios) muestran baja concentración (Top5 &lt; 10 %).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sz w:val="15"/>
                <w:szCs w:val="15"/>
              </w:rPr>
              <w:t xml:space="preserve">Se identificó el proveedor principal en cada uno de los 13 nichos concentrados (ej. Sevial S.A. 100 % en Concesión).</w:t>
            </w:r>
          </w:p>
        </w:tc>
        <w:tc>
          <w:tcPr>
            <w:tcW w:type="dxa" w:w="5030"/>
            <w:tcBorders>
              <w:top w:val="single" w:color="EBC6C9" w:sz="4"/>
              <w:left w:val="single" w:color="EBC6C9" w:sz="4"/>
              <w:bottom w:val="single" w:color="EBC6C9" w:sz="4"/>
              <w:right w:val="single" w:color="EBC6C9" w:sz="4"/>
            </w:tcBorders>
            <w:shd w:fill="FBEA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A3212E"/>
                <w:sz w:val="17"/>
                <w:szCs w:val="17"/>
              </w:rPr>
              <w:t xml:space="preserve">NO se puede afirmar (aún)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5"/>
                <w:szCs w:val="15"/>
              </w:rPr>
              <w:t xml:space="preserve">Que la concentración implique ausencia de competencia o irregularidad.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5"/>
                <w:szCs w:val="15"/>
              </w:rPr>
              <w:t xml:space="preserve">Que el patrón se mantenga igual al estratificar por modalidad o entidad contratante (pendiente).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rPr>
                <w:sz w:val="15"/>
                <w:szCs w:val="15"/>
              </w:rPr>
              <w:t xml:space="preserve">Que el hallazgo sea generalizable al conjunto del mercado distrital: es heterogéneo entre nichos.</w:t>
            </w:r>
          </w:p>
        </w:tc>
      </w:tr>
    </w:tbl>
    <w:p>
      <w:pPr>
        <w:spacing w:after="160" w:before="180"/>
      </w:pPr>
      <w:r>
        <w:rPr>
          <w:b/>
          <w:bCs/>
          <w:color w:val="1F3864"/>
          <w:sz w:val="17"/>
          <w:szCs w:val="17"/>
        </w:rPr>
        <w:t xml:space="preserve">Pregunta Semana 3: </w:t>
      </w:r>
      <w:r>
        <w:rPr>
          <w:i/>
          <w:iCs/>
          <w:sz w:val="17"/>
          <w:szCs w:val="17"/>
        </w:rPr>
        <w:t xml:space="preserve">¿La concentración observada sobrevive al estratificar por modalidad de contratación y entidad contratante, y qué revela la recurrencia proveedor-entidad (E3) sobre esos casos?</w:t>
      </w:r>
    </w:p>
    <w:p>
      <w:pPr>
        <w:pBdr>
          <w:top w:val="single" w:color="CCCCCC" w:sz="4" w:space="6"/>
        </w:pBdr>
        <w:spacing w:after="80" w:before="100"/>
      </w:pPr>
      <w:r>
        <w:rPr>
          <w:b/>
          <w:bCs/>
          <w:color w:val="595959"/>
          <w:sz w:val="15"/>
          <w:szCs w:val="15"/>
        </w:rPr>
        <w:t xml:space="preserve">Estructura de la Semana 2: </w:t>
      </w:r>
      <w:r>
        <w:rPr>
          <w:i/>
          <w:iCs/>
          <w:color w:val="595959"/>
          <w:sz w:val="15"/>
          <w:szCs w:val="15"/>
        </w:rPr>
        <w:t xml:space="preserve">DATOS → PREPARACIÓN → E1 (contratos, proveedores, valor) → E2 (Top1/Top5/Top10, criterio) → PROVEEDORES PRINCIPALES → E3 (recurrencia, pendiente) → ESTRATIFICACIÓN (pendiente) → PARETO → VALORES EXTREMOS → VISUALIZACIONES.</w:t>
      </w:r>
    </w:p>
    <w:p>
      <w:pPr>
        <w:spacing w:after="0"/>
      </w:pPr>
      <w:r>
        <w:rPr>
          <w:b/>
          <w:bCs/>
          <w:color w:val="595959"/>
          <w:sz w:val="15"/>
          <w:szCs w:val="15"/>
        </w:rPr>
        <w:t xml:space="preserve">Fuente: </w:t>
      </w:r>
      <w:r>
        <w:rPr>
          <w:color w:val="595959"/>
          <w:sz w:val="15"/>
          <w:szCs w:val="15"/>
        </w:rPr>
        <w:t xml:space="preserve">SECOP II — Contratos Electrónicos, API datos.gov.co (dataset jbjy-vk9h). Notebook: SECOP_investigation_grupo3_B.ipynb.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243714a5559cc838b4cf20cfae798284f8455.png"/><Relationship Id="rId8" Type="http://schemas.openxmlformats.org/officeDocument/2006/relationships/image" Target="media/1c2e620552f72236506e5079a37e5c67bb78cf91.png"/><Relationship Id="rId9" Type="http://schemas.openxmlformats.org/officeDocument/2006/relationships/image" Target="media/34b26b22728a620f5f8dbc1bedf7d760294477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2026-09-27T21:32:05.897Z</dcterms:created>
  <dcterms:modified xsi:type="dcterms:W3CDTF">2026-09-27T21:32:05.907Z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