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Tablero de Evidencia — Semana 2</w:t>
      </w:r>
    </w:p>
    <w:p>
      <w:pPr>
        <w:spacing w:after="200"/>
      </w:pPr>
      <w:r>
        <w:rPr>
          <w:color w:val="595959"/>
          <w:sz w:val="24"/>
          <w:szCs w:val="24"/>
        </w:rPr>
        <w:t xml:space="preserve">Expediente B: ¿Mercado cerrado?</w:t>
      </w:r>
    </w:p>
    <w:p>
      <w:pPr>
        <w:keepNext/>
        <w:pBdr>
          <w:bottom w:val="single" w:color="2E5395" w:sz="6" w:space="3"/>
        </w:pBdr>
        <w:spacing w:after="140" w:before="100"/>
      </w:pPr>
      <w:r>
        <w:rPr>
          <w:b/>
          <w:bCs/>
          <w:color w:val="1F3864"/>
          <w:sz w:val="26"/>
          <w:szCs w:val="26"/>
        </w:rPr>
        <w:t xml:space="preserve">Información General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Equipo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Equipo 3 (Data Analytics) - Xavier Bravo - Carlos Mancilla - Esteban Vallejo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Expediente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Expediente 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Recorte de Datos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Contratación del Distrito Capital de Bogotá en SECOP II, período del 2 de enero de 2024 al 31 de diciembre de 2025 (567.075 contratos, 393 entidades públicas y 252.681 proveedores únicos).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Unidad de análisis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Nicho = Tipo de contrato (23 nichos); proveedor identificado por documento (NIT); variable = valor del contrato. Criterio de concentración elevada: Top 5 ≥ 50 % o Top 10 ≥ 70 %.</w:t>
            </w:r>
          </w:p>
        </w:tc>
      </w:tr>
    </w:tbl>
    <w:p>
      <w:pPr>
        <w:keepNext/>
        <w:pBdr>
          <w:bottom w:val="single" w:color="2E5395" w:sz="6" w:space="3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Tarjeta de Evidencia 1 de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Hallazgo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La concentración elevada se confirma en 13 de los 23 nichos, pero se ubica en nichos de bajo volumen: los nichos de mayor valor contractual (Otro y Prestación de servicios) presentan concentración baja entre proveedores.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Cifra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264"/>
            </w:pPr>
            <w:r>
              <w:rPr>
                <w:sz w:val="21"/>
                <w:szCs w:val="21"/>
              </w:rPr>
              <w:t xml:space="preserve">Los 13 nichos que cumplen el criterio suman ≈ $2,25 billones, es decir, solo ≈ 1,9 % del valor total analizado ($118,04 billones). En contraste, Otro y Prestación de servicios reúnen el 73,7 % del valor total, con un Top 5 de 20,71 % y 11,34 % respectivamente.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Casos extremos: Concesión (Sevial S.A. = 100 % del valor) y Acuerdo Marco de Precios, Asociación Público Privada, No Definido y Venta inmuebles (Top 5 = 100 %).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Fuente en el notebook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E1 (Caracterización de los nichos: contratos, proveedores distintos y valor) y E2 (Concentración económica: Top 1, Top 5 y Top 10 por tipo de contrato).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Hipótesis explicativa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Los nichos concentrados tienen muy pocos proveedores distintos (entre 2 y 227) y pocos contratos, lo que facilita que un proveedor o un grupo reducido acumule la mayor parte del valor; en cambio, en Prestación de servicios (237.163 proveedores) el valor se reparte entre una masa amplia de contratistas.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Duda pendiente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¿La concentración observada dentro de cada tipo de contrato se mantiene al estratificar por modalidad de contratación y por entidad contratante? El análisis de estratificación queda para la Semana 3.</w:t>
            </w:r>
          </w:p>
        </w:tc>
      </w:tr>
    </w:tbl>
    <w:p>
      <w:pPr>
        <w:keepNext/>
        <w:pageBreakBefore/>
        <w:pBdr>
          <w:bottom w:val="single" w:color="2E5395" w:sz="6" w:space="3"/>
        </w:pBdr>
        <w:spacing w:after="140" w:before="100"/>
      </w:pPr>
      <w:r>
        <w:rPr>
          <w:b/>
          <w:bCs/>
          <w:color w:val="1F3864"/>
          <w:sz w:val="26"/>
          <w:szCs w:val="26"/>
        </w:rPr>
        <w:t xml:space="preserve">Tarjeta de Evidencia 2 de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Hallazgo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En los nichos concentrados el proveedor principal domina el valor del nicho, y algunos megacontratos individuales mueven de forma importante la participación de un solo proveedor, incluso en nichos de alto valor.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Cifra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264"/>
            </w:pPr>
            <w:r>
              <w:rPr>
                <w:sz w:val="21"/>
                <w:szCs w:val="21"/>
              </w:rPr>
              <w:t xml:space="preserve">Proveedor principal (Top 1) en nichos concentrados: Sevial S.A. 100 % (Concesión), Blanco Forero Jilber Orlando 98,57 % (No Definido), Carlos Vidaul Cadena Ríos 79,49 % (Venta inmuebles), Fiduprevisora S.A 75,34 % (Negocio fiduciario).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Megacontratos: Zona Franca Barranquilla acumula $2,85 billones (36,67 % del valor de Compraventa) y GECELCA S.A. E.S.P. $4,205 billones (9,30 % de Otro), cifra que coincide con el valor máximo individual del dataset.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Fuente en el notebook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Proveedores principales (top10_por_tipo) y revisión de valores extremos (contratos de mayor valor), junto con el Gráfico 3 (Top 5 vs Top 10 por tipo de contrato).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Hipótesis explicativa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Los picos de un solo proveedor en nichos grandes responden a megacontratos con entidades públicas o mixtas de gran envergadura, no necesariamente a barreras de entrada; por eso los valores extremos no se eliminaron sin revisión previa.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Duda pendiente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¿Cómo cambia la concentración por nicho al excluir o tratar por separado los megacontratos (por ejemplo, GECELCA y Zona Franca Barranquilla), una vez confirmados en SECOP que corresponden a registros válidos?</w:t>
            </w:r>
          </w:p>
        </w:tc>
      </w:tr>
    </w:tbl>
    <w:p>
      <w:pPr>
        <w:keepNext/>
        <w:pBdr>
          <w:bottom w:val="single" w:color="2E5395" w:sz="6" w:space="3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Tarjeta de Evidencia 3 de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Hallazgo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La recurrencia proveedor-entidad es un patrón frecuente, pero por sí sola no explica la concentración por nicho ni es evidencia de irregularidad.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Cifra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De 314.421 pares únicos Entidad-Proveedor, 157.865 (≈ 50,2 %) registraron más de un contrato en el período. El caso de mayor recurrencia es ETB con la Alcaldía Local de Rafael Uribe Uribe, con 60 contratos.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Fuente en el notebook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E3 (Análisis de recurrencia proveedor-entidad: cantidad de contratos y valor acumulado por par; relaciones con más de un contrato).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Hipótesis explicativa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La recurrencia refleja contratos sucesivos de corta duración para servicios continuos (por ejemplo, telecomunicaciones) o relaciones institucionales estables, más que un mecanismo de cierre del mercado.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Duda pendiente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¿Los pares recurrentes se concentran en modalidades de contratación directa o de régimen especial, o en procesos competitivos? Se abordará al cruzar E3 con la modalidad de selección en la Semana 3.</w:t>
            </w:r>
          </w:p>
        </w:tc>
      </w:tr>
    </w:tbl>
    <w:p>
      <w:pPr>
        <w:keepNext/>
        <w:pageBreakBefore/>
        <w:pBdr>
          <w:bottom w:val="single" w:color="2E5395" w:sz="6" w:space="3"/>
        </w:pBdr>
        <w:spacing w:after="140" w:before="100"/>
      </w:pPr>
      <w:r>
        <w:rPr>
          <w:b/>
          <w:bCs/>
          <w:color w:val="1F3864"/>
          <w:sz w:val="26"/>
          <w:szCs w:val="26"/>
        </w:rPr>
        <w:t xml:space="preserve">Declaración de Uso de Herramientas de Inteligencia Artificial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Herramienta empleada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Asistentes de IA (LLM / Python Code Assistance)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Actividad en la que se empleó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Apoyo en la organización de los resultados del notebook (tablas Top-k, Pareto y gráficas) y en la redacción y maquetación de los reportes de la Semana 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Resultado que fue verificado y forma de verificación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Se verificaron los conteos, porcentajes de participación Top 1/Top 5/Top 10 y cifras citadas mediante la reejecución de las celdas del notebook y el contraste manual con los DataFrames resultantes.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Decisión del equipo que no se delegó a la herramienta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La definición del criterio de concentración (Top 5 ≥ 50 % o Top 10 ≥ 70 %), la decisión de no eliminar automáticamente los valores extremos y la interpretación de las hipótesis.</w:t>
            </w:r>
          </w:p>
        </w:tc>
      </w:tr>
    </w:tbl>
    <w:p>
      <w:pPr>
        <w:keepNext/>
        <w:pBdr>
          <w:bottom w:val="single" w:color="2E5395" w:sz="6" w:space="3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Elaborado por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shd w:fill="DCE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F3864"/>
                <w:sz w:val="21"/>
                <w:szCs w:val="21"/>
              </w:rPr>
              <w:t xml:space="preserve">Integrantes y fecha de entrega</w:t>
            </w:r>
          </w:p>
        </w:tc>
        <w:tc>
          <w:tcPr>
            <w:tcW w:type="dxa" w:w="7780"/>
            <w:tcBorders>
              <w:top w:val="single" w:color="8FA3C0" w:sz="4"/>
              <w:left w:val="single" w:color="8FA3C0" w:sz="4"/>
              <w:bottom w:val="single" w:color="8FA3C0" w:sz="4"/>
              <w:right w:val="single" w:color="8FA3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line="264"/>
            </w:pPr>
            <w:r>
              <w:rPr>
                <w:sz w:val="21"/>
                <w:szCs w:val="21"/>
              </w:rPr>
              <w:t xml:space="preserve">Equipo 3 - Xavier Bravo - Carlos Mancilla - Esteban Vallejo</w:t>
            </w:r>
          </w:p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27 / 09 /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1080" w:bottom="1000" w:left="108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Equipo 3 · Expediente B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b/>
        <w:bCs/>
        <w:color w:val="1F3864"/>
        <w:sz w:val="20"/>
        <w:szCs w:val="20"/>
      </w:rPr>
      <w:t xml:space="preserve">UNIVERSIDAD CENTRAL</w:t>
    </w:r>
  </w:p>
  <w:p>
    <w:pPr>
      <w:spacing w:after="0"/>
      <w:jc w:val="center"/>
    </w:pPr>
    <w:r>
      <w:rPr>
        <w:color w:val="595959"/>
        <w:sz w:val="17"/>
        <w:szCs w:val="17"/>
      </w:rPr>
      <w:t xml:space="preserve">Asignatura: Data Analytics (43390860), período 2026-2</w:t>
    </w:r>
  </w:p>
  <w:p>
    <w:pPr>
      <w:spacing w:after="0"/>
      <w:jc w:val="center"/>
    </w:pPr>
    <w:r>
      <w:rPr>
        <w:color w:val="595959"/>
        <w:sz w:val="17"/>
        <w:szCs w:val="17"/>
      </w:rPr>
      <w:t xml:space="preserve">Laboratorio: SECOP Data Investigation</w:t>
    </w:r>
  </w:p>
  <w:p>
    <w:pPr>
      <w:spacing w:after="0"/>
      <w:jc w:val="center"/>
    </w:pPr>
    <w:r>
      <w:rPr>
        <w:color w:val="595959"/>
        <w:sz w:val="17"/>
        <w:szCs w:val="17"/>
      </w:rPr>
      <w:t xml:space="preserve">Documento: Tablero de Evidencia — Semana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2026-09-28T01:50:59.285Z</dcterms:created>
  <dcterms:modified xsi:type="dcterms:W3CDTF">2026-09-28T01:50:59.285Z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