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34" w:rsidRDefault="00EE3AB8" w:rsidP="00C30BAA">
      <w:pPr>
        <w:spacing w:after="0"/>
        <w:rPr>
          <w:b/>
        </w:rPr>
      </w:pPr>
      <w:r>
        <w:rPr>
          <w:b/>
        </w:rPr>
        <w:t>Fixed Effects vs. Random Effects</w:t>
      </w:r>
    </w:p>
    <w:p w:rsidR="00EE3AB8" w:rsidRDefault="00EE3AB8" w:rsidP="00C30BAA">
      <w:pPr>
        <w:spacing w:after="0"/>
      </w:pPr>
      <w:r w:rsidRPr="00EE3AB8">
        <w:t xml:space="preserve">I first </w:t>
      </w:r>
      <w:r>
        <w:t>performed a Hausman test, which tests for correlations between the regressors and the error terms, to determine whether to use a fixed effects or random effects model. The regressors indeed appear correlated (p &lt; 0.01)</w:t>
      </w:r>
      <w:r w:rsidR="00504A11">
        <w:t>, which suggests a fixed effects model is more appropriate.</w:t>
      </w:r>
      <w:r w:rsidR="007674FE">
        <w:t xml:space="preserve"> In fact, plotting residuals over time illustrates the moderate negative correlation between error terms.</w:t>
      </w:r>
    </w:p>
    <w:p w:rsidR="007674FE" w:rsidRDefault="007674FE" w:rsidP="00C30BAA">
      <w:pPr>
        <w:spacing w:after="0"/>
      </w:pPr>
    </w:p>
    <w:p w:rsidR="007674FE" w:rsidRPr="00EE3AB8" w:rsidRDefault="007674FE" w:rsidP="0058674C">
      <w:pPr>
        <w:spacing w:after="0"/>
        <w:jc w:val="center"/>
      </w:pPr>
      <w:r w:rsidRPr="007674FE">
        <w:rPr>
          <w:noProof/>
        </w:rPr>
        <w:drawing>
          <wp:inline distT="0" distB="0" distL="0" distR="0">
            <wp:extent cx="5118100" cy="3739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8100" cy="3739515"/>
                    </a:xfrm>
                    <a:prstGeom prst="rect">
                      <a:avLst/>
                    </a:prstGeom>
                    <a:noFill/>
                    <a:ln>
                      <a:noFill/>
                    </a:ln>
                  </pic:spPr>
                </pic:pic>
              </a:graphicData>
            </a:graphic>
          </wp:inline>
        </w:drawing>
      </w:r>
    </w:p>
    <w:p w:rsidR="00160ACC" w:rsidRDefault="00160ACC" w:rsidP="00C30BAA">
      <w:pPr>
        <w:spacing w:after="0"/>
        <w:rPr>
          <w:b/>
        </w:rPr>
      </w:pPr>
    </w:p>
    <w:p w:rsidR="007A738B" w:rsidRPr="00FA1D5D" w:rsidRDefault="00A508CE" w:rsidP="00C30BAA">
      <w:pPr>
        <w:spacing w:after="0"/>
        <w:rPr>
          <w:b/>
        </w:rPr>
      </w:pPr>
      <w:r>
        <w:rPr>
          <w:b/>
        </w:rPr>
        <w:t xml:space="preserve">Instrumental and </w:t>
      </w:r>
      <w:r w:rsidR="00FC0134" w:rsidRPr="00FA1D5D">
        <w:rPr>
          <w:b/>
        </w:rPr>
        <w:t>Dummy Variables</w:t>
      </w:r>
    </w:p>
    <w:p w:rsidR="00363E55" w:rsidRDefault="00FC0134" w:rsidP="00C30BAA">
      <w:pPr>
        <w:spacing w:after="0"/>
      </w:pPr>
      <w:r>
        <w:t xml:space="preserve">The countries in the dataset represented two regions: Western Europe and Latin America. </w:t>
      </w:r>
      <w:r w:rsidR="00AB33BB">
        <w:t>C</w:t>
      </w:r>
      <w:r>
        <w:t xml:space="preserve">onsequently, I </w:t>
      </w:r>
      <w:r w:rsidR="00933587">
        <w:t xml:space="preserve">ran separate regressions </w:t>
      </w:r>
      <w:r>
        <w:t xml:space="preserve">for each region. </w:t>
      </w:r>
      <w:r w:rsidR="00D245FA">
        <w:t xml:space="preserve">I also created a dummy variable </w:t>
      </w:r>
      <w:r w:rsidR="00CE3BDE">
        <w:t xml:space="preserve">for </w:t>
      </w:r>
      <w:r w:rsidR="00D245FA">
        <w:t>the Great Recession</w:t>
      </w:r>
      <w:r w:rsidR="00AB33BB">
        <w:t xml:space="preserve"> that included </w:t>
      </w:r>
      <w:r w:rsidR="00D245FA">
        <w:t xml:space="preserve">all years between 2008 and 2012. However, I removed this variable from the final model because </w:t>
      </w:r>
      <w:r w:rsidR="00160ACC">
        <w:t>it was not significant (p &gt; 0.5).</w:t>
      </w:r>
      <w:r w:rsidR="00F04AEE">
        <w:t xml:space="preserve"> </w:t>
      </w:r>
    </w:p>
    <w:p w:rsidR="009D72A1" w:rsidRDefault="009D72A1" w:rsidP="009D72A1">
      <w:pPr>
        <w:spacing w:after="0"/>
      </w:pPr>
    </w:p>
    <w:p w:rsidR="007216A2" w:rsidRDefault="007216A2" w:rsidP="00C30BAA">
      <w:pPr>
        <w:spacing w:after="0"/>
        <w:rPr>
          <w:b/>
        </w:rPr>
      </w:pPr>
      <w:r w:rsidRPr="007216A2">
        <w:rPr>
          <w:b/>
        </w:rPr>
        <w:t>Best-Fit Model</w:t>
      </w:r>
    </w:p>
    <w:p w:rsidR="007216A2" w:rsidRDefault="007957ED" w:rsidP="00C30BAA">
      <w:pPr>
        <w:spacing w:after="0"/>
      </w:pPr>
      <w:r>
        <w:t xml:space="preserve">As with previous models using this dataset, I divided the data into two regions: Europe and Latin America. </w:t>
      </w:r>
      <w:r w:rsidR="00D1051D">
        <w:t xml:space="preserve">The model that best fit the data </w:t>
      </w:r>
      <w:r w:rsidR="00AE3292">
        <w:t xml:space="preserve">from </w:t>
      </w:r>
      <w:r w:rsidR="00980EE1">
        <w:t>Latin American</w:t>
      </w:r>
      <w:r w:rsidR="00AE3292">
        <w:t xml:space="preserve"> countries </w:t>
      </w:r>
      <w:r w:rsidR="00D1051D">
        <w:t>was</w:t>
      </w:r>
      <w:r w:rsidR="00770B00">
        <w:t>:</w:t>
      </w:r>
    </w:p>
    <w:p w:rsidR="00E87442" w:rsidRPr="008F3216" w:rsidRDefault="00087043" w:rsidP="00770B00">
      <w:pPr>
        <w:spacing w:after="0"/>
        <w:ind w:left="720" w:hanging="720"/>
        <w:rPr>
          <w:rFonts w:cstheme="minorHAnsi"/>
        </w:rPr>
      </w:pPr>
      <w:r w:rsidRPr="00E87442">
        <w:rPr>
          <w:i/>
        </w:rPr>
        <w:t xml:space="preserve">log_annual_gdp_growth </w:t>
      </w:r>
      <w:r w:rsidR="00D61DA4" w:rsidRPr="00E87442">
        <w:t xml:space="preserve">= </w:t>
      </w:r>
      <w:r w:rsidR="00D61DA4" w:rsidRPr="00E87442">
        <w:rPr>
          <w:rFonts w:cstheme="minorHAnsi"/>
          <w:i/>
        </w:rPr>
        <w:t>β</w:t>
      </w:r>
      <w:r w:rsidR="00D61DA4" w:rsidRPr="00E87442">
        <w:rPr>
          <w:i/>
          <w:vertAlign w:val="subscript"/>
        </w:rPr>
        <w:t>0</w:t>
      </w:r>
      <w:r w:rsidR="00D61DA4" w:rsidRPr="00E87442">
        <w:rPr>
          <w:i/>
        </w:rPr>
        <w:t xml:space="preserve"> + </w:t>
      </w:r>
      <w:r w:rsidR="00D61DA4" w:rsidRPr="00E87442">
        <w:rPr>
          <w:rFonts w:cstheme="minorHAnsi"/>
          <w:i/>
        </w:rPr>
        <w:t>β</w:t>
      </w:r>
      <w:r w:rsidR="0038669F">
        <w:rPr>
          <w:i/>
          <w:vertAlign w:val="subscript"/>
        </w:rPr>
        <w:t>ij</w:t>
      </w:r>
      <w:r w:rsidR="0038669F">
        <w:rPr>
          <w:i/>
        </w:rPr>
        <w:t>log_gross_fixed_capital</w:t>
      </w:r>
      <w:r w:rsidR="00D61DA4" w:rsidRPr="00E87442">
        <w:rPr>
          <w:i/>
        </w:rPr>
        <w:t xml:space="preserve"> + </w:t>
      </w:r>
      <w:r w:rsidR="00D61DA4" w:rsidRPr="00E87442">
        <w:rPr>
          <w:rFonts w:cstheme="minorHAnsi"/>
          <w:i/>
        </w:rPr>
        <w:t>β</w:t>
      </w:r>
      <w:r w:rsidR="0038669F">
        <w:rPr>
          <w:i/>
          <w:vertAlign w:val="subscript"/>
        </w:rPr>
        <w:t>ij</w:t>
      </w:r>
      <w:r w:rsidR="0038669F">
        <w:rPr>
          <w:i/>
        </w:rPr>
        <w:t>log_pop_growth_annual</w:t>
      </w:r>
      <w:r w:rsidR="00AE3292" w:rsidRPr="00E87442">
        <w:rPr>
          <w:i/>
        </w:rPr>
        <w:t xml:space="preserve"> </w:t>
      </w:r>
      <w:r w:rsidR="00D61DA4" w:rsidRPr="00E87442">
        <w:rPr>
          <w:i/>
        </w:rPr>
        <w:t xml:space="preserve">+ </w:t>
      </w:r>
      <w:r w:rsidR="00D61DA4" w:rsidRPr="00E87442">
        <w:rPr>
          <w:rFonts w:cstheme="minorHAnsi"/>
          <w:i/>
        </w:rPr>
        <w:t>β</w:t>
      </w:r>
      <w:r w:rsidR="0038669F">
        <w:rPr>
          <w:i/>
          <w:vertAlign w:val="subscript"/>
        </w:rPr>
        <w:t>ij</w:t>
      </w:r>
      <w:r w:rsidR="0038669F">
        <w:rPr>
          <w:i/>
        </w:rPr>
        <w:t xml:space="preserve">log_trade_pct_gdp </w:t>
      </w:r>
      <w:r w:rsidR="00D61DA4" w:rsidRPr="00E87442">
        <w:rPr>
          <w:i/>
        </w:rPr>
        <w:t xml:space="preserve">+ </w:t>
      </w:r>
      <w:r w:rsidR="00D61DA4" w:rsidRPr="00E87442">
        <w:rPr>
          <w:rFonts w:cstheme="minorHAnsi"/>
          <w:i/>
        </w:rPr>
        <w:t>ε</w:t>
      </w:r>
      <w:r w:rsidR="008F3216" w:rsidRPr="008F3216">
        <w:rPr>
          <w:rFonts w:cstheme="minorHAnsi"/>
          <w:i/>
          <w:vertAlign w:val="subscript"/>
        </w:rPr>
        <w:t>it</w:t>
      </w:r>
    </w:p>
    <w:p w:rsidR="00E87442" w:rsidRDefault="00E87442" w:rsidP="00087043">
      <w:pPr>
        <w:spacing w:after="0"/>
        <w:ind w:left="720" w:hanging="720"/>
      </w:pPr>
      <w:r>
        <w:t>where:</w:t>
      </w:r>
    </w:p>
    <w:p w:rsidR="00275D19" w:rsidRPr="00275D19" w:rsidRDefault="00275D19" w:rsidP="00E87442">
      <w:pPr>
        <w:pStyle w:val="ListParagraph"/>
        <w:numPr>
          <w:ilvl w:val="0"/>
          <w:numId w:val="9"/>
        </w:numPr>
        <w:spacing w:after="0"/>
      </w:pPr>
      <w:r w:rsidRPr="00E87442">
        <w:rPr>
          <w:i/>
        </w:rPr>
        <w:t>log_annual_gdp_growth</w:t>
      </w:r>
      <w:r>
        <w:rPr>
          <w:i/>
        </w:rPr>
        <w:t xml:space="preserve"> </w:t>
      </w:r>
      <w:r>
        <w:t>is the log of the per-capita GDP annual growth,</w:t>
      </w:r>
    </w:p>
    <w:p w:rsidR="001C5ECD" w:rsidRPr="00275D19" w:rsidRDefault="0038669F" w:rsidP="001C5ECD">
      <w:pPr>
        <w:pStyle w:val="ListParagraph"/>
        <w:numPr>
          <w:ilvl w:val="0"/>
          <w:numId w:val="9"/>
        </w:numPr>
        <w:spacing w:after="0"/>
      </w:pPr>
      <w:r>
        <w:rPr>
          <w:i/>
        </w:rPr>
        <w:t>log_gross_fixed_capital</w:t>
      </w:r>
      <w:r>
        <w:t xml:space="preserve"> represents the log of gross fixed capital formation as a percentage of GDP,</w:t>
      </w:r>
    </w:p>
    <w:p w:rsidR="00275D19" w:rsidRDefault="0038669F" w:rsidP="00275D19">
      <w:pPr>
        <w:pStyle w:val="ListParagraph"/>
        <w:numPr>
          <w:ilvl w:val="0"/>
          <w:numId w:val="9"/>
        </w:numPr>
        <w:spacing w:after="0"/>
      </w:pPr>
      <w:r>
        <w:rPr>
          <w:i/>
        </w:rPr>
        <w:t xml:space="preserve">log_pop_growth_annual </w:t>
      </w:r>
      <w:r>
        <w:t xml:space="preserve">is the log of annual percent change in population, and </w:t>
      </w:r>
    </w:p>
    <w:p w:rsidR="00275D19" w:rsidRDefault="0038669F" w:rsidP="00275D19">
      <w:pPr>
        <w:pStyle w:val="ListParagraph"/>
        <w:numPr>
          <w:ilvl w:val="0"/>
          <w:numId w:val="9"/>
        </w:numPr>
        <w:spacing w:after="0"/>
      </w:pPr>
      <w:r>
        <w:rPr>
          <w:i/>
        </w:rPr>
        <w:t xml:space="preserve">log_trade_pct_gdp </w:t>
      </w:r>
      <w:r>
        <w:t>represents the log of trade flows as a percentage of GDP</w:t>
      </w:r>
      <w:r w:rsidR="001C5ECD">
        <w:t>.</w:t>
      </w:r>
      <w:r w:rsidR="00275D19">
        <w:t xml:space="preserve"> </w:t>
      </w:r>
    </w:p>
    <w:p w:rsidR="00D61DA4" w:rsidRDefault="00D61DA4" w:rsidP="00C30BAA">
      <w:pPr>
        <w:spacing w:after="0"/>
      </w:pPr>
    </w:p>
    <w:p w:rsidR="008143DD" w:rsidRDefault="008143DD" w:rsidP="008143DD">
      <w:pPr>
        <w:spacing w:after="0"/>
      </w:pPr>
      <w:r>
        <w:t>The table below lists the coefficients, significance levels, R</w:t>
      </w:r>
      <w:r w:rsidRPr="00A508CE">
        <w:rPr>
          <w:vertAlign w:val="superscript"/>
        </w:rPr>
        <w:t>2</w:t>
      </w:r>
      <w:r w:rsidR="00A86B04">
        <w:t>, and sigma and rho values</w:t>
      </w:r>
      <w:r w:rsidR="00EE5B72">
        <w:t xml:space="preserve"> </w:t>
      </w:r>
      <w:r w:rsidR="00A7408C">
        <w:t xml:space="preserve">for the regression using only countries in </w:t>
      </w:r>
      <w:r w:rsidR="00A86B04">
        <w:t>Latin America</w:t>
      </w:r>
      <w:r w:rsidR="00A7408C">
        <w:t>.</w:t>
      </w:r>
    </w:p>
    <w:p w:rsidR="00A94117" w:rsidRDefault="00A94117" w:rsidP="008143DD">
      <w:pPr>
        <w:spacing w:after="0"/>
      </w:pPr>
    </w:p>
    <w:p w:rsidR="00A94117" w:rsidRDefault="00A94117" w:rsidP="00A94117">
      <w:pPr>
        <w:spacing w:after="0"/>
        <w:jc w:val="center"/>
      </w:pPr>
      <w:r>
        <w:rPr>
          <w:noProof/>
        </w:rPr>
        <w:drawing>
          <wp:inline distT="0" distB="0" distL="0" distR="0" wp14:anchorId="307D4AD3" wp14:editId="49481BC9">
            <wp:extent cx="5417820" cy="34023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8" cy="3439432"/>
                    </a:xfrm>
                    <a:prstGeom prst="rect">
                      <a:avLst/>
                    </a:prstGeom>
                  </pic:spPr>
                </pic:pic>
              </a:graphicData>
            </a:graphic>
          </wp:inline>
        </w:drawing>
      </w:r>
    </w:p>
    <w:p w:rsidR="00C1488D" w:rsidRDefault="00A94117">
      <w:r>
        <w:t xml:space="preserve">As you can see from the table, </w:t>
      </w:r>
      <w:r w:rsidR="007957ED">
        <w:t xml:space="preserve">all coefficients are significant at p &lt; 0.1 or less, and the </w:t>
      </w:r>
      <w:r>
        <w:t>rho statistic indicates t</w:t>
      </w:r>
      <w:r w:rsidR="00DF087A">
        <w:t>hat t</w:t>
      </w:r>
      <w:r>
        <w:t xml:space="preserve">his model explains nearly 54 percent of the variation across panels. </w:t>
      </w:r>
    </w:p>
    <w:p w:rsidR="00C1488D" w:rsidRDefault="00C1488D" w:rsidP="00C1488D">
      <w:pPr>
        <w:spacing w:after="0"/>
      </w:pPr>
      <w:r>
        <w:t xml:space="preserve">The model that best fit the data from </w:t>
      </w:r>
      <w:r w:rsidR="008957E5">
        <w:t xml:space="preserve">European </w:t>
      </w:r>
      <w:r>
        <w:t>countries was:</w:t>
      </w:r>
    </w:p>
    <w:p w:rsidR="007957ED" w:rsidRPr="008F3216" w:rsidRDefault="007957ED" w:rsidP="007957ED">
      <w:pPr>
        <w:spacing w:after="0"/>
        <w:ind w:left="720" w:hanging="720"/>
        <w:rPr>
          <w:rFonts w:cstheme="minorHAnsi"/>
        </w:rPr>
      </w:pPr>
      <w:r w:rsidRPr="00E87442">
        <w:rPr>
          <w:i/>
        </w:rPr>
        <w:t xml:space="preserve">log_annual_gdp_growth </w:t>
      </w:r>
      <w:r w:rsidRPr="00E87442">
        <w:t xml:space="preserve">= </w:t>
      </w:r>
      <w:r w:rsidRPr="00E87442">
        <w:rPr>
          <w:rFonts w:cstheme="minorHAnsi"/>
          <w:i/>
        </w:rPr>
        <w:t>β</w:t>
      </w:r>
      <w:r w:rsidRPr="00E87442">
        <w:rPr>
          <w:i/>
          <w:vertAlign w:val="subscript"/>
        </w:rPr>
        <w:t>0</w:t>
      </w:r>
      <w:r w:rsidRPr="00E87442">
        <w:rPr>
          <w:i/>
        </w:rPr>
        <w:t xml:space="preserve"> + </w:t>
      </w:r>
      <w:r w:rsidRPr="00E87442">
        <w:rPr>
          <w:rFonts w:cstheme="minorHAnsi"/>
          <w:i/>
        </w:rPr>
        <w:t>β</w:t>
      </w:r>
      <w:r>
        <w:rPr>
          <w:i/>
          <w:vertAlign w:val="subscript"/>
        </w:rPr>
        <w:t>ij</w:t>
      </w:r>
      <w:r>
        <w:rPr>
          <w:i/>
        </w:rPr>
        <w:t>log_gross_fixed_capital</w:t>
      </w:r>
      <w:r w:rsidRPr="00E87442">
        <w:rPr>
          <w:i/>
        </w:rPr>
        <w:t xml:space="preserve"> + </w:t>
      </w:r>
      <w:r w:rsidRPr="00E87442">
        <w:rPr>
          <w:rFonts w:cstheme="minorHAnsi"/>
          <w:i/>
        </w:rPr>
        <w:t>β</w:t>
      </w:r>
      <w:r>
        <w:rPr>
          <w:i/>
          <w:vertAlign w:val="subscript"/>
        </w:rPr>
        <w:t>ij</w:t>
      </w:r>
      <w:r>
        <w:rPr>
          <w:i/>
        </w:rPr>
        <w:t>log_pop_growth_annual</w:t>
      </w:r>
      <w:r w:rsidRPr="00E87442">
        <w:rPr>
          <w:i/>
        </w:rPr>
        <w:t xml:space="preserve"> + </w:t>
      </w:r>
      <w:r w:rsidRPr="00E87442">
        <w:rPr>
          <w:rFonts w:cstheme="minorHAnsi"/>
          <w:i/>
        </w:rPr>
        <w:t>β</w:t>
      </w:r>
      <w:r>
        <w:rPr>
          <w:i/>
          <w:vertAlign w:val="subscript"/>
        </w:rPr>
        <w:t>ij</w:t>
      </w:r>
      <w:r>
        <w:rPr>
          <w:i/>
        </w:rPr>
        <w:t>log_</w:t>
      </w:r>
      <w:r w:rsidR="00F8080A">
        <w:rPr>
          <w:i/>
        </w:rPr>
        <w:t>gov_exp_edu</w:t>
      </w:r>
      <w:r>
        <w:rPr>
          <w:i/>
        </w:rPr>
        <w:t xml:space="preserve"> </w:t>
      </w:r>
      <w:r w:rsidRPr="00E87442">
        <w:rPr>
          <w:i/>
        </w:rPr>
        <w:t xml:space="preserve">+ </w:t>
      </w:r>
      <w:r w:rsidRPr="00E87442">
        <w:rPr>
          <w:rFonts w:cstheme="minorHAnsi"/>
          <w:i/>
        </w:rPr>
        <w:t>ε</w:t>
      </w:r>
      <w:r w:rsidRPr="008F3216">
        <w:rPr>
          <w:rFonts w:cstheme="minorHAnsi"/>
          <w:i/>
          <w:vertAlign w:val="subscript"/>
        </w:rPr>
        <w:t>it</w:t>
      </w:r>
    </w:p>
    <w:p w:rsidR="007957ED" w:rsidRDefault="007957ED" w:rsidP="007957ED">
      <w:pPr>
        <w:spacing w:after="0"/>
        <w:ind w:left="720" w:hanging="720"/>
      </w:pPr>
      <w:r>
        <w:t>where:</w:t>
      </w:r>
    </w:p>
    <w:p w:rsidR="007957ED" w:rsidRPr="00275D19" w:rsidRDefault="007957ED" w:rsidP="007957ED">
      <w:pPr>
        <w:pStyle w:val="ListParagraph"/>
        <w:numPr>
          <w:ilvl w:val="0"/>
          <w:numId w:val="9"/>
        </w:numPr>
        <w:spacing w:after="0"/>
      </w:pPr>
      <w:r w:rsidRPr="00E87442">
        <w:rPr>
          <w:i/>
        </w:rPr>
        <w:t>log_annual_gdp_growth</w:t>
      </w:r>
      <w:r>
        <w:rPr>
          <w:i/>
        </w:rPr>
        <w:t xml:space="preserve"> </w:t>
      </w:r>
      <w:r>
        <w:t>is the log of the per-capita GDP annual growth,</w:t>
      </w:r>
    </w:p>
    <w:p w:rsidR="007957ED" w:rsidRPr="00275D19" w:rsidRDefault="007957ED" w:rsidP="007957ED">
      <w:pPr>
        <w:pStyle w:val="ListParagraph"/>
        <w:numPr>
          <w:ilvl w:val="0"/>
          <w:numId w:val="9"/>
        </w:numPr>
        <w:spacing w:after="0"/>
      </w:pPr>
      <w:r>
        <w:rPr>
          <w:i/>
        </w:rPr>
        <w:t>log_gross_fixed_capital</w:t>
      </w:r>
      <w:r>
        <w:t xml:space="preserve"> represents the log of gross fixed capital formation as a percentage of GDP,</w:t>
      </w:r>
    </w:p>
    <w:p w:rsidR="007957ED" w:rsidRDefault="007957ED" w:rsidP="007957ED">
      <w:pPr>
        <w:pStyle w:val="ListParagraph"/>
        <w:numPr>
          <w:ilvl w:val="0"/>
          <w:numId w:val="9"/>
        </w:numPr>
        <w:spacing w:after="0"/>
      </w:pPr>
      <w:r>
        <w:rPr>
          <w:i/>
        </w:rPr>
        <w:t xml:space="preserve">log_pop_growth_annual </w:t>
      </w:r>
      <w:r>
        <w:t xml:space="preserve">is the log of annual percent change in population, and </w:t>
      </w:r>
    </w:p>
    <w:p w:rsidR="007957ED" w:rsidRDefault="007957ED" w:rsidP="007957ED">
      <w:pPr>
        <w:pStyle w:val="ListParagraph"/>
        <w:numPr>
          <w:ilvl w:val="0"/>
          <w:numId w:val="9"/>
        </w:numPr>
        <w:spacing w:after="0"/>
      </w:pPr>
      <w:r>
        <w:rPr>
          <w:i/>
        </w:rPr>
        <w:t>log_</w:t>
      </w:r>
      <w:r w:rsidR="009E08D9">
        <w:rPr>
          <w:i/>
        </w:rPr>
        <w:t xml:space="preserve">gov_exp_edu </w:t>
      </w:r>
      <w:r>
        <w:rPr>
          <w:i/>
        </w:rPr>
        <w:t xml:space="preserve"> </w:t>
      </w:r>
      <w:r>
        <w:t xml:space="preserve">represents the log of </w:t>
      </w:r>
      <w:r w:rsidR="009E08D9">
        <w:t>total government expenditures on education</w:t>
      </w:r>
      <w:r>
        <w:t xml:space="preserve">. </w:t>
      </w:r>
    </w:p>
    <w:p w:rsidR="007957ED" w:rsidRDefault="007957ED" w:rsidP="00C30BAA">
      <w:pPr>
        <w:spacing w:after="0"/>
      </w:pPr>
    </w:p>
    <w:p w:rsidR="000F28BA" w:rsidRDefault="00EE5B72" w:rsidP="00C30BAA">
      <w:pPr>
        <w:spacing w:after="0"/>
      </w:pPr>
      <w:r>
        <w:t xml:space="preserve">The table </w:t>
      </w:r>
      <w:r w:rsidR="0058674C">
        <w:t>on the following page</w:t>
      </w:r>
      <w:r>
        <w:t xml:space="preserve"> lists the coefficients, significance level, and R</w:t>
      </w:r>
      <w:r w:rsidRPr="00A508CE">
        <w:rPr>
          <w:vertAlign w:val="superscript"/>
        </w:rPr>
        <w:t>2</w:t>
      </w:r>
      <w:r>
        <w:t xml:space="preserve"> for the regression using only countries in</w:t>
      </w:r>
      <w:r w:rsidR="008957E5">
        <w:t xml:space="preserve"> Europe</w:t>
      </w:r>
      <w:r>
        <w:t>.</w:t>
      </w:r>
      <w:r w:rsidR="00C1488D">
        <w:t xml:space="preserve"> </w:t>
      </w:r>
      <w:r w:rsidR="00DF087A">
        <w:t>All predictor variables are significant at p &lt; 0.03 or less, and the rho statistic indicates that this model explains more than 21 percent of the variation across panels.</w:t>
      </w:r>
    </w:p>
    <w:p w:rsidR="00DF087A" w:rsidRDefault="00DF087A" w:rsidP="00C30BAA">
      <w:pPr>
        <w:spacing w:after="0"/>
      </w:pPr>
    </w:p>
    <w:p w:rsidR="00C1488D" w:rsidRDefault="00DF087A" w:rsidP="00DF087A">
      <w:pPr>
        <w:spacing w:after="0"/>
        <w:jc w:val="center"/>
      </w:pPr>
      <w:r>
        <w:rPr>
          <w:noProof/>
        </w:rPr>
        <w:lastRenderedPageBreak/>
        <w:drawing>
          <wp:inline distT="0" distB="0" distL="0" distR="0" wp14:anchorId="4F7D1B15" wp14:editId="1A823ECF">
            <wp:extent cx="5422392" cy="337277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2392" cy="3372774"/>
                    </a:xfrm>
                    <a:prstGeom prst="rect">
                      <a:avLst/>
                    </a:prstGeom>
                  </pic:spPr>
                </pic:pic>
              </a:graphicData>
            </a:graphic>
          </wp:inline>
        </w:drawing>
      </w:r>
    </w:p>
    <w:p w:rsidR="007957ED" w:rsidRDefault="007957ED" w:rsidP="007957ED">
      <w:pPr>
        <w:spacing w:after="0"/>
        <w:rPr>
          <w:i/>
        </w:rPr>
      </w:pPr>
    </w:p>
    <w:p w:rsidR="007957ED" w:rsidRDefault="007957ED" w:rsidP="007957ED">
      <w:pPr>
        <w:spacing w:after="0"/>
        <w:rPr>
          <w:b/>
        </w:rPr>
      </w:pPr>
      <w:r>
        <w:rPr>
          <w:b/>
        </w:rPr>
        <w:t>Robust Standard Errors</w:t>
      </w:r>
    </w:p>
    <w:p w:rsidR="007957ED" w:rsidRDefault="007957ED" w:rsidP="007957ED">
      <w:pPr>
        <w:spacing w:after="0"/>
      </w:pPr>
      <w:r>
        <w:t xml:space="preserve">I applied robust standard errors to account for the heteroscedasticity I had observed in the data through other analyses. </w:t>
      </w:r>
    </w:p>
    <w:p w:rsidR="007957ED" w:rsidRDefault="007957ED" w:rsidP="00C30BAA">
      <w:pPr>
        <w:spacing w:after="0"/>
      </w:pPr>
    </w:p>
    <w:p w:rsidR="003C3C4E" w:rsidRPr="00AA215C" w:rsidRDefault="00AA215C" w:rsidP="00C30BAA">
      <w:pPr>
        <w:spacing w:after="0"/>
        <w:rPr>
          <w:b/>
        </w:rPr>
      </w:pPr>
      <w:r w:rsidRPr="00AA215C">
        <w:rPr>
          <w:b/>
        </w:rPr>
        <w:t>Discussion</w:t>
      </w:r>
    </w:p>
    <w:p w:rsidR="00AA215C" w:rsidRDefault="00C54EEF" w:rsidP="00C30BAA">
      <w:pPr>
        <w:spacing w:after="0"/>
      </w:pPr>
      <w:r>
        <w:t xml:space="preserve">It is worth noting that </w:t>
      </w:r>
      <w:r w:rsidR="00AA215C">
        <w:t xml:space="preserve">government expenditures on education </w:t>
      </w:r>
      <w:r w:rsidR="00D4153E">
        <w:t>were</w:t>
      </w:r>
      <w:r w:rsidR="00AA215C">
        <w:t xml:space="preserve"> significant for countries in Europe but not for countries in Latin America, and the opposite was true with regards to trade as a percentage of GDP. </w:t>
      </w:r>
      <w:r w:rsidR="00792992">
        <w:t>The latter makes intuitive sense. The European Union was officially established in 1993, though the decade leading up to that year, which represents the first years represented in the dataset, was characterized by greater European cooperation. As such, large trade volumes became less indicative of a country’s overall economic health, as measured by its change in per capita GDP.</w:t>
      </w:r>
      <w:r w:rsidR="007674FE">
        <w:t xml:space="preserve"> </w:t>
      </w:r>
      <w:r w:rsidR="00DE16DE">
        <w:t>Conversely, Latin America is relatively isolated from the rest of the world and has relatively low intra-regional trade. Consequently, trading relationships with wealthy countries in other regions stood to improve the economic conditions of those countries.</w:t>
      </w:r>
    </w:p>
    <w:p w:rsidR="00DE16DE" w:rsidRDefault="00DE16DE" w:rsidP="00C30BAA">
      <w:pPr>
        <w:spacing w:after="0"/>
      </w:pPr>
    </w:p>
    <w:p w:rsidR="00DE16DE" w:rsidRPr="00BC1C28" w:rsidRDefault="00DE16DE" w:rsidP="00BC1C28">
      <w:pPr>
        <w:spacing w:after="0"/>
      </w:pPr>
      <w:r w:rsidRPr="00DE16DE">
        <w:t>The different</w:t>
      </w:r>
      <w:r>
        <w:t>ial impact of education spending proves harder to explain. Part of the reason this predictor is significant for Europe but not for Latin America could be that spending on education showed considerable variation through the mid-1990s but significantly stabilized across Latin America in later years</w:t>
      </w:r>
      <w:r w:rsidR="00BC1C28">
        <w:t xml:space="preserve"> (see graph on following page)</w:t>
      </w:r>
      <w:r>
        <w:t xml:space="preserve">. This consequently could have reduced the impact of education expenditures </w:t>
      </w:r>
      <w:r w:rsidR="00200A02">
        <w:t>on per capita GDP growth</w:t>
      </w:r>
      <w:bookmarkStart w:id="0" w:name="_GoBack"/>
      <w:bookmarkEnd w:id="0"/>
      <w:r>
        <w:t xml:space="preserve">. </w:t>
      </w:r>
    </w:p>
    <w:p w:rsidR="00DE16DE" w:rsidRPr="00DE16DE" w:rsidRDefault="00DE16DE" w:rsidP="002316E6">
      <w:pPr>
        <w:spacing w:after="0"/>
      </w:pPr>
      <w:r w:rsidRPr="00DE16DE">
        <w:rPr>
          <w:noProof/>
        </w:rPr>
        <w:lastRenderedPageBreak/>
        <w:drawing>
          <wp:inline distT="0" distB="0" distL="0" distR="0">
            <wp:extent cx="5118100" cy="3739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8100" cy="3739515"/>
                    </a:xfrm>
                    <a:prstGeom prst="rect">
                      <a:avLst/>
                    </a:prstGeom>
                    <a:noFill/>
                    <a:ln>
                      <a:noFill/>
                    </a:ln>
                  </pic:spPr>
                </pic:pic>
              </a:graphicData>
            </a:graphic>
          </wp:inline>
        </w:drawing>
      </w:r>
    </w:p>
    <w:p w:rsidR="00375699" w:rsidRPr="00CC1381" w:rsidRDefault="00375699" w:rsidP="009B518C">
      <w:pPr>
        <w:spacing w:after="0"/>
      </w:pPr>
    </w:p>
    <w:sectPr w:rsidR="00375699" w:rsidRPr="00CC1381" w:rsidSect="007023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0BF" w:rsidRDefault="001E20BF" w:rsidP="008723FB">
      <w:pPr>
        <w:spacing w:after="0" w:line="240" w:lineRule="auto"/>
      </w:pPr>
      <w:r>
        <w:separator/>
      </w:r>
    </w:p>
  </w:endnote>
  <w:endnote w:type="continuationSeparator" w:id="0">
    <w:p w:rsidR="001E20BF" w:rsidRDefault="001E20BF"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0BF" w:rsidRDefault="001E20BF" w:rsidP="008723FB">
      <w:pPr>
        <w:spacing w:after="0" w:line="240" w:lineRule="auto"/>
      </w:pPr>
      <w:r>
        <w:separator/>
      </w:r>
    </w:p>
  </w:footnote>
  <w:footnote w:type="continuationSeparator" w:id="0">
    <w:p w:rsidR="001E20BF" w:rsidRDefault="001E20BF"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F28" w:rsidRDefault="00601F28" w:rsidP="008723FB">
    <w:pPr>
      <w:pStyle w:val="Header"/>
      <w:jc w:val="right"/>
    </w:pPr>
    <w:r>
      <w:t>Evan Kramer</w:t>
    </w:r>
  </w:p>
  <w:p w:rsidR="00601F28" w:rsidRDefault="005A41B5" w:rsidP="008723FB">
    <w:pPr>
      <w:pStyle w:val="Header"/>
      <w:jc w:val="right"/>
    </w:pPr>
    <w:r>
      <w:t xml:space="preserve">Assignment </w:t>
    </w:r>
    <w:r w:rsidR="00544DAC">
      <w:t>5</w:t>
    </w:r>
    <w:r w:rsidR="00601F28">
      <w:t xml:space="preserve"> – 1</w:t>
    </w:r>
    <w:r w:rsidR="00CD71BF">
      <w:t>1/</w:t>
    </w:r>
    <w:r w:rsidR="00586198">
      <w:t>15</w:t>
    </w:r>
    <w:r w:rsidR="00601F28">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DF9"/>
    <w:multiLevelType w:val="hybridMultilevel"/>
    <w:tmpl w:val="3BE0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25EB5"/>
    <w:multiLevelType w:val="hybridMultilevel"/>
    <w:tmpl w:val="1084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62726"/>
    <w:multiLevelType w:val="hybridMultilevel"/>
    <w:tmpl w:val="2C94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5"/>
  </w:num>
  <w:num w:numId="5">
    <w:abstractNumId w:val="3"/>
  </w:num>
  <w:num w:numId="6">
    <w:abstractNumId w:val="1"/>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252A0"/>
    <w:rsid w:val="00026198"/>
    <w:rsid w:val="00042685"/>
    <w:rsid w:val="00043FFA"/>
    <w:rsid w:val="000470EE"/>
    <w:rsid w:val="000501D9"/>
    <w:rsid w:val="00050AE4"/>
    <w:rsid w:val="00060A81"/>
    <w:rsid w:val="00073270"/>
    <w:rsid w:val="0007701A"/>
    <w:rsid w:val="000771C3"/>
    <w:rsid w:val="00083D97"/>
    <w:rsid w:val="00085AC6"/>
    <w:rsid w:val="00087043"/>
    <w:rsid w:val="000930AF"/>
    <w:rsid w:val="000951E6"/>
    <w:rsid w:val="000A4E71"/>
    <w:rsid w:val="000B70F8"/>
    <w:rsid w:val="000B7E0D"/>
    <w:rsid w:val="000C02F8"/>
    <w:rsid w:val="000C1EAD"/>
    <w:rsid w:val="000C6B69"/>
    <w:rsid w:val="000F069C"/>
    <w:rsid w:val="000F28BA"/>
    <w:rsid w:val="000F64B1"/>
    <w:rsid w:val="00101A8A"/>
    <w:rsid w:val="00112F17"/>
    <w:rsid w:val="00117966"/>
    <w:rsid w:val="001236BE"/>
    <w:rsid w:val="001241E9"/>
    <w:rsid w:val="00126A53"/>
    <w:rsid w:val="00141E53"/>
    <w:rsid w:val="0014653C"/>
    <w:rsid w:val="00147D19"/>
    <w:rsid w:val="001516AF"/>
    <w:rsid w:val="00154FDC"/>
    <w:rsid w:val="00160ACC"/>
    <w:rsid w:val="0016511C"/>
    <w:rsid w:val="00166108"/>
    <w:rsid w:val="00172176"/>
    <w:rsid w:val="0017370C"/>
    <w:rsid w:val="001825B3"/>
    <w:rsid w:val="00187CC7"/>
    <w:rsid w:val="00195A9B"/>
    <w:rsid w:val="00197C3F"/>
    <w:rsid w:val="001A1C0D"/>
    <w:rsid w:val="001B04DD"/>
    <w:rsid w:val="001B5A4E"/>
    <w:rsid w:val="001B5ECA"/>
    <w:rsid w:val="001B6686"/>
    <w:rsid w:val="001C0C60"/>
    <w:rsid w:val="001C267A"/>
    <w:rsid w:val="001C5ECD"/>
    <w:rsid w:val="001D2066"/>
    <w:rsid w:val="001E05A7"/>
    <w:rsid w:val="001E20BF"/>
    <w:rsid w:val="001E7862"/>
    <w:rsid w:val="001F04BD"/>
    <w:rsid w:val="00200A02"/>
    <w:rsid w:val="00211EF9"/>
    <w:rsid w:val="00214F84"/>
    <w:rsid w:val="00225BAB"/>
    <w:rsid w:val="002316E6"/>
    <w:rsid w:val="00261E3F"/>
    <w:rsid w:val="0026237B"/>
    <w:rsid w:val="00267D9F"/>
    <w:rsid w:val="00271A17"/>
    <w:rsid w:val="002743A6"/>
    <w:rsid w:val="00275D19"/>
    <w:rsid w:val="00286381"/>
    <w:rsid w:val="00286A57"/>
    <w:rsid w:val="00287954"/>
    <w:rsid w:val="002A135B"/>
    <w:rsid w:val="002B0DAF"/>
    <w:rsid w:val="002B4C31"/>
    <w:rsid w:val="002C0548"/>
    <w:rsid w:val="002C3477"/>
    <w:rsid w:val="002C6F37"/>
    <w:rsid w:val="002E000A"/>
    <w:rsid w:val="00302C71"/>
    <w:rsid w:val="003033B1"/>
    <w:rsid w:val="003053E9"/>
    <w:rsid w:val="00327025"/>
    <w:rsid w:val="0034023C"/>
    <w:rsid w:val="003479DD"/>
    <w:rsid w:val="00354919"/>
    <w:rsid w:val="00355D85"/>
    <w:rsid w:val="00357CF8"/>
    <w:rsid w:val="00363E55"/>
    <w:rsid w:val="00365101"/>
    <w:rsid w:val="00374BEC"/>
    <w:rsid w:val="00375699"/>
    <w:rsid w:val="00377051"/>
    <w:rsid w:val="0038669F"/>
    <w:rsid w:val="00392320"/>
    <w:rsid w:val="003A3288"/>
    <w:rsid w:val="003C079F"/>
    <w:rsid w:val="003C3C4E"/>
    <w:rsid w:val="003D3F7D"/>
    <w:rsid w:val="003D658D"/>
    <w:rsid w:val="003E3168"/>
    <w:rsid w:val="003E3FD4"/>
    <w:rsid w:val="003E4FC6"/>
    <w:rsid w:val="003F38FD"/>
    <w:rsid w:val="003F7FAC"/>
    <w:rsid w:val="00406937"/>
    <w:rsid w:val="00407FBF"/>
    <w:rsid w:val="00433E65"/>
    <w:rsid w:val="00440005"/>
    <w:rsid w:val="00441D72"/>
    <w:rsid w:val="00444D93"/>
    <w:rsid w:val="004471D6"/>
    <w:rsid w:val="00450CBF"/>
    <w:rsid w:val="00453549"/>
    <w:rsid w:val="004535DA"/>
    <w:rsid w:val="00454789"/>
    <w:rsid w:val="0046087B"/>
    <w:rsid w:val="004608FA"/>
    <w:rsid w:val="00470995"/>
    <w:rsid w:val="00473187"/>
    <w:rsid w:val="00491115"/>
    <w:rsid w:val="004A7C32"/>
    <w:rsid w:val="004A7D6A"/>
    <w:rsid w:val="004B2F8B"/>
    <w:rsid w:val="004C067D"/>
    <w:rsid w:val="004D7F26"/>
    <w:rsid w:val="004E226A"/>
    <w:rsid w:val="004F7D21"/>
    <w:rsid w:val="005001A5"/>
    <w:rsid w:val="0050055D"/>
    <w:rsid w:val="00504A11"/>
    <w:rsid w:val="00505FBF"/>
    <w:rsid w:val="00511B6A"/>
    <w:rsid w:val="00516BE3"/>
    <w:rsid w:val="00516C6E"/>
    <w:rsid w:val="005277C6"/>
    <w:rsid w:val="0053227A"/>
    <w:rsid w:val="00537694"/>
    <w:rsid w:val="0054320D"/>
    <w:rsid w:val="00544DAC"/>
    <w:rsid w:val="005523B3"/>
    <w:rsid w:val="00554448"/>
    <w:rsid w:val="00571430"/>
    <w:rsid w:val="00574463"/>
    <w:rsid w:val="005752DC"/>
    <w:rsid w:val="005858A3"/>
    <w:rsid w:val="00586198"/>
    <w:rsid w:val="0058674C"/>
    <w:rsid w:val="00587159"/>
    <w:rsid w:val="0059261A"/>
    <w:rsid w:val="005935E3"/>
    <w:rsid w:val="005A41B5"/>
    <w:rsid w:val="005A45E4"/>
    <w:rsid w:val="005B4500"/>
    <w:rsid w:val="005B53DE"/>
    <w:rsid w:val="005C7730"/>
    <w:rsid w:val="005D1517"/>
    <w:rsid w:val="005D185C"/>
    <w:rsid w:val="005D51F0"/>
    <w:rsid w:val="005D5E11"/>
    <w:rsid w:val="005D624C"/>
    <w:rsid w:val="005D62F0"/>
    <w:rsid w:val="005F3E4E"/>
    <w:rsid w:val="005F407C"/>
    <w:rsid w:val="00601F28"/>
    <w:rsid w:val="006027C9"/>
    <w:rsid w:val="0060298E"/>
    <w:rsid w:val="0060371A"/>
    <w:rsid w:val="00603F72"/>
    <w:rsid w:val="00607889"/>
    <w:rsid w:val="00621C32"/>
    <w:rsid w:val="006224E0"/>
    <w:rsid w:val="006254AD"/>
    <w:rsid w:val="00630541"/>
    <w:rsid w:val="0063585B"/>
    <w:rsid w:val="00642ADC"/>
    <w:rsid w:val="00642D05"/>
    <w:rsid w:val="00644726"/>
    <w:rsid w:val="00644910"/>
    <w:rsid w:val="0065426F"/>
    <w:rsid w:val="00654C5E"/>
    <w:rsid w:val="006609D3"/>
    <w:rsid w:val="006625B0"/>
    <w:rsid w:val="006648EB"/>
    <w:rsid w:val="006C126A"/>
    <w:rsid w:val="006C2480"/>
    <w:rsid w:val="006D6438"/>
    <w:rsid w:val="006E0201"/>
    <w:rsid w:val="006E0332"/>
    <w:rsid w:val="006E41B7"/>
    <w:rsid w:val="006E520F"/>
    <w:rsid w:val="006F29CC"/>
    <w:rsid w:val="0070234D"/>
    <w:rsid w:val="00711C84"/>
    <w:rsid w:val="00720DA6"/>
    <w:rsid w:val="007216A2"/>
    <w:rsid w:val="00722B50"/>
    <w:rsid w:val="00727B82"/>
    <w:rsid w:val="00730CEE"/>
    <w:rsid w:val="00731F30"/>
    <w:rsid w:val="007500E3"/>
    <w:rsid w:val="00752D33"/>
    <w:rsid w:val="00755B8C"/>
    <w:rsid w:val="00761557"/>
    <w:rsid w:val="00766B26"/>
    <w:rsid w:val="007674FE"/>
    <w:rsid w:val="00770B00"/>
    <w:rsid w:val="00773B9F"/>
    <w:rsid w:val="00774653"/>
    <w:rsid w:val="00790A60"/>
    <w:rsid w:val="00792992"/>
    <w:rsid w:val="00792E74"/>
    <w:rsid w:val="00793598"/>
    <w:rsid w:val="007957ED"/>
    <w:rsid w:val="007A094F"/>
    <w:rsid w:val="007A1590"/>
    <w:rsid w:val="007A3A42"/>
    <w:rsid w:val="007A60A2"/>
    <w:rsid w:val="007A738B"/>
    <w:rsid w:val="007B2C12"/>
    <w:rsid w:val="007C204A"/>
    <w:rsid w:val="007C29DA"/>
    <w:rsid w:val="007C3983"/>
    <w:rsid w:val="007C6573"/>
    <w:rsid w:val="007D2D2E"/>
    <w:rsid w:val="007D46C4"/>
    <w:rsid w:val="007F016F"/>
    <w:rsid w:val="007F1B4B"/>
    <w:rsid w:val="007F26EF"/>
    <w:rsid w:val="007F7AD4"/>
    <w:rsid w:val="00804335"/>
    <w:rsid w:val="0080684E"/>
    <w:rsid w:val="008143DD"/>
    <w:rsid w:val="00815BAF"/>
    <w:rsid w:val="00816773"/>
    <w:rsid w:val="00817CE0"/>
    <w:rsid w:val="00824DC3"/>
    <w:rsid w:val="00824FB6"/>
    <w:rsid w:val="00825339"/>
    <w:rsid w:val="0082575F"/>
    <w:rsid w:val="00826017"/>
    <w:rsid w:val="00836CB2"/>
    <w:rsid w:val="00844CBE"/>
    <w:rsid w:val="008463A3"/>
    <w:rsid w:val="00855603"/>
    <w:rsid w:val="00866707"/>
    <w:rsid w:val="008723FB"/>
    <w:rsid w:val="00873835"/>
    <w:rsid w:val="00875BA0"/>
    <w:rsid w:val="00875EC1"/>
    <w:rsid w:val="00881E0B"/>
    <w:rsid w:val="00883BCC"/>
    <w:rsid w:val="008957E5"/>
    <w:rsid w:val="008A0016"/>
    <w:rsid w:val="008A283E"/>
    <w:rsid w:val="008A78E5"/>
    <w:rsid w:val="008B5BF0"/>
    <w:rsid w:val="008B687C"/>
    <w:rsid w:val="008C5444"/>
    <w:rsid w:val="008C623C"/>
    <w:rsid w:val="008D7BF2"/>
    <w:rsid w:val="008E6E80"/>
    <w:rsid w:val="008F03FF"/>
    <w:rsid w:val="008F2169"/>
    <w:rsid w:val="008F26C7"/>
    <w:rsid w:val="008F3216"/>
    <w:rsid w:val="00901281"/>
    <w:rsid w:val="00907B63"/>
    <w:rsid w:val="009102CF"/>
    <w:rsid w:val="009175A2"/>
    <w:rsid w:val="00921C5F"/>
    <w:rsid w:val="009279CF"/>
    <w:rsid w:val="00933587"/>
    <w:rsid w:val="009360F2"/>
    <w:rsid w:val="0093721C"/>
    <w:rsid w:val="0096289E"/>
    <w:rsid w:val="00962ADF"/>
    <w:rsid w:val="00971178"/>
    <w:rsid w:val="00976E21"/>
    <w:rsid w:val="00980EE1"/>
    <w:rsid w:val="009813CF"/>
    <w:rsid w:val="00981BC3"/>
    <w:rsid w:val="009835AB"/>
    <w:rsid w:val="00983B33"/>
    <w:rsid w:val="009925DE"/>
    <w:rsid w:val="00993145"/>
    <w:rsid w:val="009A4584"/>
    <w:rsid w:val="009A62D1"/>
    <w:rsid w:val="009B09CA"/>
    <w:rsid w:val="009B47E5"/>
    <w:rsid w:val="009B518C"/>
    <w:rsid w:val="009B75AB"/>
    <w:rsid w:val="009C1FD3"/>
    <w:rsid w:val="009D24E4"/>
    <w:rsid w:val="009D72A1"/>
    <w:rsid w:val="009E08D9"/>
    <w:rsid w:val="009E2B60"/>
    <w:rsid w:val="009E7CA3"/>
    <w:rsid w:val="009F4D1A"/>
    <w:rsid w:val="00A062B7"/>
    <w:rsid w:val="00A12370"/>
    <w:rsid w:val="00A25DA0"/>
    <w:rsid w:val="00A3469E"/>
    <w:rsid w:val="00A376AA"/>
    <w:rsid w:val="00A4757D"/>
    <w:rsid w:val="00A508CE"/>
    <w:rsid w:val="00A54CAD"/>
    <w:rsid w:val="00A563E0"/>
    <w:rsid w:val="00A61A4A"/>
    <w:rsid w:val="00A62033"/>
    <w:rsid w:val="00A674EB"/>
    <w:rsid w:val="00A719BB"/>
    <w:rsid w:val="00A7226F"/>
    <w:rsid w:val="00A73264"/>
    <w:rsid w:val="00A7408C"/>
    <w:rsid w:val="00A74BE0"/>
    <w:rsid w:val="00A76779"/>
    <w:rsid w:val="00A77265"/>
    <w:rsid w:val="00A845D7"/>
    <w:rsid w:val="00A86B04"/>
    <w:rsid w:val="00A873B1"/>
    <w:rsid w:val="00A94117"/>
    <w:rsid w:val="00AA10D0"/>
    <w:rsid w:val="00AA1415"/>
    <w:rsid w:val="00AA215C"/>
    <w:rsid w:val="00AB33BB"/>
    <w:rsid w:val="00AC01DB"/>
    <w:rsid w:val="00AC0E36"/>
    <w:rsid w:val="00AC1EB7"/>
    <w:rsid w:val="00AC2080"/>
    <w:rsid w:val="00AC6600"/>
    <w:rsid w:val="00AD53C0"/>
    <w:rsid w:val="00AE0FBA"/>
    <w:rsid w:val="00AE3292"/>
    <w:rsid w:val="00AE5344"/>
    <w:rsid w:val="00AF381A"/>
    <w:rsid w:val="00AF648E"/>
    <w:rsid w:val="00AF683A"/>
    <w:rsid w:val="00B03D3F"/>
    <w:rsid w:val="00B14658"/>
    <w:rsid w:val="00B153B4"/>
    <w:rsid w:val="00B24AF9"/>
    <w:rsid w:val="00B318AC"/>
    <w:rsid w:val="00B34A99"/>
    <w:rsid w:val="00B36919"/>
    <w:rsid w:val="00B407D3"/>
    <w:rsid w:val="00B46C16"/>
    <w:rsid w:val="00B50191"/>
    <w:rsid w:val="00B52667"/>
    <w:rsid w:val="00B53E3D"/>
    <w:rsid w:val="00B5406B"/>
    <w:rsid w:val="00B5623A"/>
    <w:rsid w:val="00B72CAE"/>
    <w:rsid w:val="00B76039"/>
    <w:rsid w:val="00B82E21"/>
    <w:rsid w:val="00B87EA6"/>
    <w:rsid w:val="00B909F0"/>
    <w:rsid w:val="00B9353F"/>
    <w:rsid w:val="00BA12A0"/>
    <w:rsid w:val="00BA4D82"/>
    <w:rsid w:val="00BA6BFC"/>
    <w:rsid w:val="00BB0780"/>
    <w:rsid w:val="00BC1C28"/>
    <w:rsid w:val="00BC5882"/>
    <w:rsid w:val="00BE086E"/>
    <w:rsid w:val="00BE5ACC"/>
    <w:rsid w:val="00BF1FA8"/>
    <w:rsid w:val="00C0022F"/>
    <w:rsid w:val="00C10706"/>
    <w:rsid w:val="00C10A76"/>
    <w:rsid w:val="00C135B4"/>
    <w:rsid w:val="00C1488D"/>
    <w:rsid w:val="00C21D8B"/>
    <w:rsid w:val="00C24873"/>
    <w:rsid w:val="00C26596"/>
    <w:rsid w:val="00C305A6"/>
    <w:rsid w:val="00C30BAA"/>
    <w:rsid w:val="00C403CA"/>
    <w:rsid w:val="00C412AD"/>
    <w:rsid w:val="00C539B8"/>
    <w:rsid w:val="00C54EEF"/>
    <w:rsid w:val="00C626A5"/>
    <w:rsid w:val="00C62ED9"/>
    <w:rsid w:val="00C72DC8"/>
    <w:rsid w:val="00C866C2"/>
    <w:rsid w:val="00CB3634"/>
    <w:rsid w:val="00CB63B2"/>
    <w:rsid w:val="00CC1381"/>
    <w:rsid w:val="00CC24D9"/>
    <w:rsid w:val="00CC2D74"/>
    <w:rsid w:val="00CD0963"/>
    <w:rsid w:val="00CD71BF"/>
    <w:rsid w:val="00CE2862"/>
    <w:rsid w:val="00CE2B73"/>
    <w:rsid w:val="00CE3BDE"/>
    <w:rsid w:val="00CE5D11"/>
    <w:rsid w:val="00CF2F9F"/>
    <w:rsid w:val="00CF6600"/>
    <w:rsid w:val="00D04B9C"/>
    <w:rsid w:val="00D06539"/>
    <w:rsid w:val="00D1051D"/>
    <w:rsid w:val="00D14EBA"/>
    <w:rsid w:val="00D245FA"/>
    <w:rsid w:val="00D3321E"/>
    <w:rsid w:val="00D33F59"/>
    <w:rsid w:val="00D4153E"/>
    <w:rsid w:val="00D42022"/>
    <w:rsid w:val="00D45ED9"/>
    <w:rsid w:val="00D4789D"/>
    <w:rsid w:val="00D51D63"/>
    <w:rsid w:val="00D61DA4"/>
    <w:rsid w:val="00D75442"/>
    <w:rsid w:val="00D77DA0"/>
    <w:rsid w:val="00DA447E"/>
    <w:rsid w:val="00DA6B33"/>
    <w:rsid w:val="00DB513F"/>
    <w:rsid w:val="00DC693F"/>
    <w:rsid w:val="00DD11C4"/>
    <w:rsid w:val="00DE16DE"/>
    <w:rsid w:val="00DE2449"/>
    <w:rsid w:val="00DE2C03"/>
    <w:rsid w:val="00DE2CF6"/>
    <w:rsid w:val="00DF087A"/>
    <w:rsid w:val="00DF3182"/>
    <w:rsid w:val="00DF5936"/>
    <w:rsid w:val="00DF5DB8"/>
    <w:rsid w:val="00DF7EA0"/>
    <w:rsid w:val="00E067B9"/>
    <w:rsid w:val="00E11CD6"/>
    <w:rsid w:val="00E15D24"/>
    <w:rsid w:val="00E2103B"/>
    <w:rsid w:val="00E269D4"/>
    <w:rsid w:val="00E30269"/>
    <w:rsid w:val="00E32250"/>
    <w:rsid w:val="00E606C3"/>
    <w:rsid w:val="00E66556"/>
    <w:rsid w:val="00E7333A"/>
    <w:rsid w:val="00E75A67"/>
    <w:rsid w:val="00E83C9E"/>
    <w:rsid w:val="00E845C5"/>
    <w:rsid w:val="00E87442"/>
    <w:rsid w:val="00E87B1E"/>
    <w:rsid w:val="00E9241C"/>
    <w:rsid w:val="00E92C10"/>
    <w:rsid w:val="00E95437"/>
    <w:rsid w:val="00EA0BF1"/>
    <w:rsid w:val="00EB2FBC"/>
    <w:rsid w:val="00EB5D30"/>
    <w:rsid w:val="00ED4A8E"/>
    <w:rsid w:val="00ED56A3"/>
    <w:rsid w:val="00EE1A3F"/>
    <w:rsid w:val="00EE3AB8"/>
    <w:rsid w:val="00EE4021"/>
    <w:rsid w:val="00EE5B72"/>
    <w:rsid w:val="00EF2175"/>
    <w:rsid w:val="00EF5394"/>
    <w:rsid w:val="00F00AAF"/>
    <w:rsid w:val="00F04AEE"/>
    <w:rsid w:val="00F05DCC"/>
    <w:rsid w:val="00F06C14"/>
    <w:rsid w:val="00F10013"/>
    <w:rsid w:val="00F146E1"/>
    <w:rsid w:val="00F170A6"/>
    <w:rsid w:val="00F32201"/>
    <w:rsid w:val="00F37ADE"/>
    <w:rsid w:val="00F42CDE"/>
    <w:rsid w:val="00F43E1C"/>
    <w:rsid w:val="00F53088"/>
    <w:rsid w:val="00F578F3"/>
    <w:rsid w:val="00F61523"/>
    <w:rsid w:val="00F726E9"/>
    <w:rsid w:val="00F77F97"/>
    <w:rsid w:val="00F8080A"/>
    <w:rsid w:val="00F85D1C"/>
    <w:rsid w:val="00F90281"/>
    <w:rsid w:val="00F95754"/>
    <w:rsid w:val="00FA0F7E"/>
    <w:rsid w:val="00FA1D5D"/>
    <w:rsid w:val="00FA405A"/>
    <w:rsid w:val="00FB2F46"/>
    <w:rsid w:val="00FC0134"/>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343C"/>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BalloonText">
    <w:name w:val="Balloon Text"/>
    <w:basedOn w:val="Normal"/>
    <w:link w:val="BalloonTextChar"/>
    <w:uiPriority w:val="99"/>
    <w:semiHidden/>
    <w:unhideWhenUsed/>
    <w:rsid w:val="009F4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D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30</cp:revision>
  <cp:lastPrinted>2018-11-01T03:57:00Z</cp:lastPrinted>
  <dcterms:created xsi:type="dcterms:W3CDTF">2018-11-14T03:02:00Z</dcterms:created>
  <dcterms:modified xsi:type="dcterms:W3CDTF">2018-11-14T04:20:00Z</dcterms:modified>
</cp:coreProperties>
</file>