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A6053" w14:textId="77777777" w:rsidR="00DE3DEF" w:rsidRDefault="00EF0C49" w:rsidP="00253726">
      <w:pPr>
        <w:spacing w:after="0"/>
        <w:rPr>
          <w:b/>
        </w:rPr>
      </w:pPr>
      <w:r>
        <w:rPr>
          <w:b/>
        </w:rPr>
        <w:t>Abstract</w:t>
      </w:r>
    </w:p>
    <w:p w14:paraId="78EE3AC6" w14:textId="2700C258" w:rsidR="00EF0C49" w:rsidRDefault="000B7074" w:rsidP="00EF0C49">
      <w:pPr>
        <w:spacing w:after="0"/>
      </w:pPr>
      <w:r>
        <w:t xml:space="preserve">In addition to tax breaks, an educate workforce is a significant attractor to draw new businesses and jobs. </w:t>
      </w:r>
      <w:r w:rsidR="00EF0C49" w:rsidRPr="000B4D2D">
        <w:t xml:space="preserve">Tennessee spends more tax revenue on education than any other </w:t>
      </w:r>
      <w:r w:rsidR="00EF0C49">
        <w:t>purpose</w:t>
      </w:r>
      <w:r w:rsidR="00AD079F">
        <w:t>, but w</w:t>
      </w:r>
      <w:r w:rsidR="00EF0C49" w:rsidRPr="000B4D2D">
        <w:t xml:space="preserve">hat return do taxpayers see on this investment? Which factors affect how much students improve in terms of their performance on standardized test scores? This paper explores the effects of per-pupil funding, student demographics, levels of education of adults in the community, median home sales prices, and crime rates on student improvement, as measured by </w:t>
      </w:r>
      <w:r w:rsidR="002F3D4D">
        <w:t xml:space="preserve">proficiency rates and </w:t>
      </w:r>
      <w:r w:rsidR="00EF0C49" w:rsidRPr="000B4D2D">
        <w:t>value-added performance on the Tennessee Comprehensive Assessment Program</w:t>
      </w:r>
      <w:r w:rsidR="00BC2745">
        <w:t xml:space="preserve"> (TCAP)</w:t>
      </w:r>
      <w:r w:rsidR="00EF0C49" w:rsidRPr="000B4D2D">
        <w:t>. Specifically, this paper seeks to understand which investments county leaders and the business community in Tennessee should make to continue educating future members of the workforce</w:t>
      </w:r>
      <w:r w:rsidR="00DC5157">
        <w:t xml:space="preserve"> to incentivize increased business development</w:t>
      </w:r>
      <w:r w:rsidR="00EF0C49" w:rsidRPr="000B4D2D">
        <w:t>.</w:t>
      </w:r>
    </w:p>
    <w:p w14:paraId="0BCFE087" w14:textId="77777777" w:rsidR="00254C78" w:rsidRDefault="00254C78" w:rsidP="00254C78">
      <w:pPr>
        <w:spacing w:after="0"/>
        <w:rPr>
          <w:b/>
        </w:rPr>
      </w:pPr>
    </w:p>
    <w:p w14:paraId="7E117C27" w14:textId="6DB675BE" w:rsidR="00254C78" w:rsidRPr="00EF0C49" w:rsidRDefault="00254C78" w:rsidP="00254C78">
      <w:pPr>
        <w:spacing w:after="0"/>
        <w:rPr>
          <w:b/>
        </w:rPr>
      </w:pPr>
      <w:r w:rsidRPr="00EF0C49">
        <w:rPr>
          <w:b/>
        </w:rPr>
        <w:t>Introduction</w:t>
      </w:r>
    </w:p>
    <w:p w14:paraId="7FD4D1A2" w14:textId="77777777" w:rsidR="00254C78" w:rsidRDefault="00254C78" w:rsidP="00254C78">
      <w:pPr>
        <w:spacing w:after="0"/>
      </w:pPr>
      <w:commentRangeStart w:id="0"/>
      <w:r>
        <w:t>Attracting new businesses to the state requires more than tax breaks. An educated workforce is a significant draw (and the lack thereof a significant deterrent) in luring new jobs and company headquarters to the state (</w:t>
      </w:r>
      <w:r w:rsidRPr="00EF0C49">
        <w:rPr>
          <w:highlight w:val="yellow"/>
        </w:rPr>
        <w:t>citation needed</w:t>
      </w:r>
      <w:r>
        <w:t>).</w:t>
      </w:r>
      <w:commentRangeEnd w:id="0"/>
      <w:r>
        <w:rPr>
          <w:rStyle w:val="CommentReference"/>
        </w:rPr>
        <w:commentReference w:id="0"/>
      </w:r>
    </w:p>
    <w:p w14:paraId="6651AA0D" w14:textId="77777777" w:rsidR="00EF0C49" w:rsidRDefault="00EF0C49" w:rsidP="00253726">
      <w:pPr>
        <w:spacing w:after="0"/>
      </w:pPr>
    </w:p>
    <w:p w14:paraId="65F592C1" w14:textId="321DFF6E" w:rsidR="00EF0C49" w:rsidRDefault="00EF0C49" w:rsidP="00EF0C49">
      <w:pPr>
        <w:spacing w:after="0"/>
        <w:rPr>
          <w:b/>
        </w:rPr>
      </w:pPr>
      <w:r>
        <w:rPr>
          <w:b/>
        </w:rPr>
        <w:t>Research Question</w:t>
      </w:r>
      <w:r w:rsidR="00056573">
        <w:rPr>
          <w:b/>
        </w:rPr>
        <w:t>s</w:t>
      </w:r>
    </w:p>
    <w:p w14:paraId="7AB8F5CF" w14:textId="757BBC84" w:rsidR="00EF0C49" w:rsidRDefault="00056573" w:rsidP="00EF0C49">
      <w:pPr>
        <w:spacing w:after="0" w:line="240" w:lineRule="auto"/>
      </w:pPr>
      <w:r>
        <w:t>This study aims to answer the following research questions:</w:t>
      </w:r>
    </w:p>
    <w:p w14:paraId="63133A66" w14:textId="728577A2" w:rsidR="00D8212E" w:rsidRDefault="00D8212E" w:rsidP="00D8212E">
      <w:pPr>
        <w:pStyle w:val="ListParagraph"/>
        <w:numPr>
          <w:ilvl w:val="0"/>
          <w:numId w:val="8"/>
        </w:numPr>
        <w:spacing w:after="0" w:line="240" w:lineRule="auto"/>
      </w:pPr>
      <w:r>
        <w:t xml:space="preserve">What is the relationship between per-pupil funding and students’ test scores on state standardized tests (TCAP) in Tennessee? </w:t>
      </w:r>
    </w:p>
    <w:p w14:paraId="4896ACA9" w14:textId="15EA818A" w:rsidR="00D8212E" w:rsidRDefault="00D8212E" w:rsidP="00D8212E">
      <w:pPr>
        <w:pStyle w:val="ListParagraph"/>
        <w:numPr>
          <w:ilvl w:val="0"/>
          <w:numId w:val="8"/>
        </w:numPr>
        <w:spacing w:after="0" w:line="240" w:lineRule="auto"/>
      </w:pPr>
      <w:r>
        <w:t xml:space="preserve">How does per-pupil funding relate to improvements in performance on TCAP? </w:t>
      </w:r>
    </w:p>
    <w:p w14:paraId="538F2781" w14:textId="5545989E" w:rsidR="00D8212E" w:rsidRDefault="00D8212E" w:rsidP="00D8212E">
      <w:pPr>
        <w:pStyle w:val="ListParagraph"/>
        <w:numPr>
          <w:ilvl w:val="0"/>
          <w:numId w:val="8"/>
        </w:numPr>
        <w:spacing w:after="0" w:line="240" w:lineRule="auto"/>
      </w:pPr>
      <w:r>
        <w:t xml:space="preserve">What is the relationship between student demographics and district size and TCAP results? </w:t>
      </w:r>
    </w:p>
    <w:p w14:paraId="69FCB8F1" w14:textId="6E181B93" w:rsidR="00D8212E" w:rsidRDefault="00D8212E" w:rsidP="00D8212E">
      <w:pPr>
        <w:pStyle w:val="ListParagraph"/>
        <w:numPr>
          <w:ilvl w:val="0"/>
          <w:numId w:val="8"/>
        </w:numPr>
        <w:spacing w:after="0" w:line="240" w:lineRule="auto"/>
      </w:pPr>
      <w:r>
        <w:t>How do student demographics relate to improvements in performance on TCAP?</w:t>
      </w:r>
    </w:p>
    <w:p w14:paraId="2DE6C2E6" w14:textId="53A84C26" w:rsidR="00D8212E" w:rsidRDefault="00D8212E" w:rsidP="00D8212E">
      <w:pPr>
        <w:pStyle w:val="ListParagraph"/>
        <w:numPr>
          <w:ilvl w:val="0"/>
          <w:numId w:val="8"/>
        </w:numPr>
        <w:spacing w:after="0" w:line="240" w:lineRule="auto"/>
      </w:pPr>
      <w:r>
        <w:t xml:space="preserve">To what degree are county-level factors (e.g., crime rates, housing prices, higher education attainment levels) related to TCAP performance and </w:t>
      </w:r>
      <w:r w:rsidR="00254C78">
        <w:t>improvement in TCAP performance?</w:t>
      </w:r>
    </w:p>
    <w:p w14:paraId="675D0649" w14:textId="4C115B4A" w:rsidR="00D8212E" w:rsidRDefault="00D8212E" w:rsidP="00254C78">
      <w:pPr>
        <w:spacing w:after="0" w:line="240" w:lineRule="auto"/>
      </w:pPr>
    </w:p>
    <w:p w14:paraId="418122EA" w14:textId="3961B464" w:rsidR="00EF0C49" w:rsidRDefault="007A240F" w:rsidP="00253726">
      <w:pPr>
        <w:spacing w:after="0"/>
      </w:pPr>
      <w:r>
        <w:rPr>
          <w:b/>
        </w:rPr>
        <w:t xml:space="preserve">Data </w:t>
      </w:r>
      <w:r w:rsidR="00593CB9">
        <w:rPr>
          <w:b/>
        </w:rPr>
        <w:t>and Methods</w:t>
      </w:r>
    </w:p>
    <w:p w14:paraId="122531AB" w14:textId="77777777" w:rsidR="00343EEB" w:rsidRDefault="00290DBC" w:rsidP="00253726">
      <w:pPr>
        <w:spacing w:after="0"/>
      </w:pPr>
      <w:r>
        <w:t>The present study uses administrative datasets</w:t>
      </w:r>
      <w:r w:rsidR="00206DDB">
        <w:t xml:space="preserve"> from the </w:t>
      </w:r>
      <w:r w:rsidR="00985410">
        <w:t xml:space="preserve">2015 through 2018 </w:t>
      </w:r>
      <w:r>
        <w:t xml:space="preserve">to answer the research questions above. We </w:t>
      </w:r>
      <w:r w:rsidR="007A6B6F">
        <w:t>gathered</w:t>
      </w:r>
      <w:r>
        <w:t xml:space="preserve"> </w:t>
      </w:r>
      <w:r w:rsidR="00732D39">
        <w:t xml:space="preserve">district-level </w:t>
      </w:r>
      <w:r>
        <w:t xml:space="preserve">data on test scores, </w:t>
      </w:r>
      <w:r w:rsidR="00AE77FE">
        <w:t>value-added performance,</w:t>
      </w:r>
      <w:r w:rsidR="00AE77FE">
        <w:rPr>
          <w:rStyle w:val="FootnoteReference"/>
        </w:rPr>
        <w:footnoteReference w:id="1"/>
      </w:r>
      <w:r w:rsidR="00AE77FE">
        <w:t xml:space="preserve"> </w:t>
      </w:r>
      <w:r>
        <w:t xml:space="preserve">school and district size, </w:t>
      </w:r>
      <w:r w:rsidR="00AE77FE">
        <w:t xml:space="preserve">student demographics, and per-pupil funding from publicly available data provided by the Tennessee Department of Education. </w:t>
      </w:r>
      <w:r w:rsidR="00732D39">
        <w:t xml:space="preserve">We </w:t>
      </w:r>
      <w:r w:rsidR="00B20F00">
        <w:t xml:space="preserve">also </w:t>
      </w:r>
      <w:r w:rsidR="00732D39">
        <w:t xml:space="preserve">collected </w:t>
      </w:r>
      <w:r w:rsidR="00B20F00">
        <w:t xml:space="preserve">county-level </w:t>
      </w:r>
      <w:r w:rsidR="00732D39">
        <w:t xml:space="preserve">crime rate information from publicly available data </w:t>
      </w:r>
      <w:r w:rsidR="00D76452">
        <w:t xml:space="preserve">published by </w:t>
      </w:r>
      <w:r w:rsidR="00732D39">
        <w:t>the Tennessee Bureau of Investigation.</w:t>
      </w:r>
      <w:r w:rsidR="008C7669">
        <w:t xml:space="preserve"> </w:t>
      </w:r>
      <w:r w:rsidR="00357F40">
        <w:t xml:space="preserve">We included median home sales prices and numbers of homes sold from county-level data collected from the Tennessee Housing Development Authority. Finally, our dataset included educational attainment </w:t>
      </w:r>
      <w:r w:rsidR="00A800A1">
        <w:t xml:space="preserve">information </w:t>
      </w:r>
      <w:r w:rsidR="00357F40">
        <w:t>(i.e., the percent of county residents with a bachelor’s degree)</w:t>
      </w:r>
      <w:r w:rsidR="00A800A1">
        <w:t xml:space="preserve"> from data published by the Tennessee Higher Education Commission.</w:t>
      </w:r>
    </w:p>
    <w:p w14:paraId="37EF2B9D" w14:textId="77777777" w:rsidR="00343EEB" w:rsidRDefault="00343EEB" w:rsidP="00253726">
      <w:pPr>
        <w:spacing w:after="0"/>
      </w:pPr>
    </w:p>
    <w:p w14:paraId="6D68EC3E" w14:textId="77777777" w:rsidR="00EF0C49" w:rsidRDefault="00B20F00" w:rsidP="00253726">
      <w:pPr>
        <w:spacing w:after="0"/>
      </w:pPr>
      <w:r>
        <w:t xml:space="preserve">While many districts are county-level educational agencies, Tennessee has 50 municipal districts that </w:t>
      </w:r>
      <w:r w:rsidR="00705BB0">
        <w:t>encompass</w:t>
      </w:r>
      <w:r>
        <w:t xml:space="preserve"> part of one or more counties. In these instances, we have </w:t>
      </w:r>
      <w:r w:rsidR="0022278E">
        <w:t>included</w:t>
      </w:r>
      <w:r>
        <w:t xml:space="preserve"> county-level data for the </w:t>
      </w:r>
      <w:r>
        <w:lastRenderedPageBreak/>
        <w:t xml:space="preserve">county in which the greatest proportion of the district’s students reside for the purposes </w:t>
      </w:r>
      <w:r w:rsidR="00137CB2">
        <w:t>of our analysis.</w:t>
      </w:r>
      <w:r w:rsidR="0022278E">
        <w:t xml:space="preserve"> Because THEC and TBI do not disaggregate data along district and school zone boundaries, this duplication and overlap of data represents a potential threat to the overall quality of the data used in this analysis.</w:t>
      </w:r>
    </w:p>
    <w:p w14:paraId="6D3BE7EE" w14:textId="74522064" w:rsidR="007A240F" w:rsidRDefault="007A240F" w:rsidP="00253726">
      <w:pPr>
        <w:spacing w:after="0"/>
      </w:pPr>
    </w:p>
    <w:p w14:paraId="72B7DDBB" w14:textId="3D2FBD4A" w:rsidR="00206A44" w:rsidRDefault="00593CB9" w:rsidP="00253726">
      <w:pPr>
        <w:spacing w:after="0"/>
      </w:pPr>
      <w:r>
        <w:t xml:space="preserve">The two outcome variables of interest in this study are </w:t>
      </w:r>
      <w:r w:rsidR="00B40698">
        <w:t xml:space="preserve">districts’ </w:t>
      </w:r>
      <w:r w:rsidR="00206A44">
        <w:t xml:space="preserve">proficiency rates on the Tennessee Comprehensive Assessment Program (TCAP) </w:t>
      </w:r>
      <w:r w:rsidR="00B40698">
        <w:t xml:space="preserve">and their composite TVAAS levels, which range from 1 through 5. </w:t>
      </w:r>
      <w:r w:rsidR="00780C51">
        <w:t>To answer our research questions, w</w:t>
      </w:r>
      <w:r w:rsidR="00206A44">
        <w:t>e consider the following</w:t>
      </w:r>
      <w:r w:rsidR="001958C2">
        <w:t xml:space="preserve"> county-level</w:t>
      </w:r>
      <w:r w:rsidR="00206A44">
        <w:t xml:space="preserve"> predictor variables: </w:t>
      </w:r>
    </w:p>
    <w:p w14:paraId="4D64B88D" w14:textId="0E871984" w:rsidR="00206A44" w:rsidRDefault="00780C51" w:rsidP="00206A44">
      <w:pPr>
        <w:pStyle w:val="ListParagraph"/>
        <w:numPr>
          <w:ilvl w:val="0"/>
          <w:numId w:val="9"/>
        </w:numPr>
        <w:spacing w:after="0"/>
      </w:pPr>
      <w:r>
        <w:t>Average daily membership</w:t>
      </w:r>
      <w:r w:rsidR="007B2AED">
        <w:rPr>
          <w:rStyle w:val="FootnoteReference"/>
        </w:rPr>
        <w:footnoteReference w:id="2"/>
      </w:r>
    </w:p>
    <w:p w14:paraId="6EFC651A" w14:textId="46465D02" w:rsidR="00780C51" w:rsidRDefault="00780C51" w:rsidP="00206A44">
      <w:pPr>
        <w:pStyle w:val="ListParagraph"/>
        <w:numPr>
          <w:ilvl w:val="0"/>
          <w:numId w:val="9"/>
        </w:numPr>
        <w:spacing w:after="0"/>
      </w:pPr>
      <w:r>
        <w:t>Number of schools in the district</w:t>
      </w:r>
    </w:p>
    <w:p w14:paraId="509E44FA" w14:textId="77777777" w:rsidR="00780C51" w:rsidRDefault="00780C51" w:rsidP="00780C51">
      <w:pPr>
        <w:pStyle w:val="ListParagraph"/>
        <w:numPr>
          <w:ilvl w:val="0"/>
          <w:numId w:val="9"/>
        </w:numPr>
        <w:spacing w:after="0"/>
      </w:pPr>
      <w:r>
        <w:t>Amount of per-pupil funding</w:t>
      </w:r>
    </w:p>
    <w:p w14:paraId="6CDA8A61" w14:textId="05219D2F" w:rsidR="00780C51" w:rsidRDefault="002F42AD" w:rsidP="00780C51">
      <w:pPr>
        <w:pStyle w:val="ListParagraph"/>
        <w:numPr>
          <w:ilvl w:val="0"/>
          <w:numId w:val="9"/>
        </w:numPr>
        <w:spacing w:after="0"/>
      </w:pPr>
      <w:r>
        <w:t>P</w:t>
      </w:r>
      <w:r w:rsidR="00780C51">
        <w:t>roportion of students in the district identified as economically disadvantaged</w:t>
      </w:r>
      <w:r w:rsidR="00780C51">
        <w:rPr>
          <w:rStyle w:val="FootnoteReference"/>
        </w:rPr>
        <w:footnoteReference w:id="3"/>
      </w:r>
    </w:p>
    <w:p w14:paraId="14FBB9B7" w14:textId="517C1234" w:rsidR="00780C51" w:rsidRDefault="002F42AD" w:rsidP="00780C51">
      <w:pPr>
        <w:pStyle w:val="ListParagraph"/>
        <w:numPr>
          <w:ilvl w:val="0"/>
          <w:numId w:val="9"/>
        </w:numPr>
        <w:spacing w:after="0"/>
      </w:pPr>
      <w:r>
        <w:t>Proportion of students in the district identified as having a disability</w:t>
      </w:r>
    </w:p>
    <w:p w14:paraId="1A20C347" w14:textId="154948F3" w:rsidR="002F42AD" w:rsidRDefault="002F42AD" w:rsidP="00780C51">
      <w:pPr>
        <w:pStyle w:val="ListParagraph"/>
        <w:numPr>
          <w:ilvl w:val="0"/>
          <w:numId w:val="9"/>
        </w:numPr>
        <w:spacing w:after="0"/>
      </w:pPr>
      <w:r>
        <w:t>Proportion of county residents with a bachelor’s degree</w:t>
      </w:r>
    </w:p>
    <w:p w14:paraId="7E7F7C9B" w14:textId="7597D4CF" w:rsidR="002F42AD" w:rsidRDefault="002F42AD" w:rsidP="00780C51">
      <w:pPr>
        <w:pStyle w:val="ListParagraph"/>
        <w:numPr>
          <w:ilvl w:val="0"/>
          <w:numId w:val="9"/>
        </w:numPr>
        <w:spacing w:after="0"/>
      </w:pPr>
      <w:r>
        <w:t>Crime rate per 1000 residents</w:t>
      </w:r>
    </w:p>
    <w:p w14:paraId="5CCC0701" w14:textId="6EE1358C" w:rsidR="002F42AD" w:rsidRDefault="002F42AD" w:rsidP="00780C51">
      <w:pPr>
        <w:pStyle w:val="ListParagraph"/>
        <w:numPr>
          <w:ilvl w:val="0"/>
          <w:numId w:val="9"/>
        </w:numPr>
        <w:spacing w:after="0"/>
      </w:pPr>
      <w:r>
        <w:t>Median home sale price</w:t>
      </w:r>
    </w:p>
    <w:p w14:paraId="31022096" w14:textId="0A51E9AD" w:rsidR="00206A44" w:rsidRDefault="00206A44" w:rsidP="00206A44">
      <w:pPr>
        <w:spacing w:after="0"/>
      </w:pPr>
    </w:p>
    <w:p w14:paraId="4BA24E5F" w14:textId="12529C0D" w:rsidR="008E2F76" w:rsidRDefault="00140C17" w:rsidP="00253726">
      <w:pPr>
        <w:spacing w:after="0"/>
      </w:pPr>
      <w:r>
        <w:t xml:space="preserve">The models and results presented here use the </w:t>
      </w:r>
      <w:r w:rsidR="003D246C">
        <w:t xml:space="preserve">natural logarithm of each variable </w:t>
      </w:r>
      <w:r>
        <w:t xml:space="preserve">mentioned, </w:t>
      </w:r>
      <w:r w:rsidR="003D246C">
        <w:t>with the exception of value-added composite scores.</w:t>
      </w:r>
      <w:r>
        <w:t xml:space="preserve"> </w:t>
      </w:r>
    </w:p>
    <w:p w14:paraId="61537AEA" w14:textId="3896355C" w:rsidR="00140C17" w:rsidRDefault="00140C17" w:rsidP="00253726">
      <w:pPr>
        <w:spacing w:after="0"/>
      </w:pPr>
    </w:p>
    <w:p w14:paraId="2E3D7466" w14:textId="0552C3A2" w:rsidR="00780762" w:rsidRDefault="00FA1238" w:rsidP="00253726">
      <w:pPr>
        <w:spacing w:after="0"/>
      </w:pPr>
      <w:r>
        <w:rPr>
          <w:b/>
        </w:rPr>
        <w:t>Methods</w:t>
      </w:r>
      <w:r w:rsidR="00233370">
        <w:rPr>
          <w:b/>
        </w:rPr>
        <w:t xml:space="preserve"> and Results</w:t>
      </w:r>
      <w:r w:rsidR="004114FB">
        <w:rPr>
          <w:b/>
        </w:rPr>
        <w:t xml:space="preserve"> </w:t>
      </w:r>
    </w:p>
    <w:p w14:paraId="43C67DE6" w14:textId="730DA6C4" w:rsidR="00FA1238" w:rsidRDefault="00FA1238" w:rsidP="00FA1238">
      <w:pPr>
        <w:spacing w:after="0"/>
      </w:pPr>
      <w:r>
        <w:t>We employed both ordinary least squares regressions, as well as fixed-effects models that account for unobserved variation between districts. The results differ slightly between models, as we will explain below.</w:t>
      </w:r>
      <w:r w:rsidR="008E2F76">
        <w:t xml:space="preserve"> </w:t>
      </w:r>
    </w:p>
    <w:p w14:paraId="43193A43" w14:textId="78DA2567" w:rsidR="008E2F76" w:rsidRDefault="008E2F76" w:rsidP="00FA1238">
      <w:pPr>
        <w:spacing w:after="0"/>
      </w:pPr>
    </w:p>
    <w:p w14:paraId="63D9C75E" w14:textId="00206D90" w:rsidR="00CE3F6D" w:rsidRDefault="00CE3F6D" w:rsidP="00FA1238">
      <w:pPr>
        <w:spacing w:after="0"/>
        <w:rPr>
          <w:i/>
        </w:rPr>
      </w:pPr>
      <w:r>
        <w:rPr>
          <w:i/>
        </w:rPr>
        <w:t xml:space="preserve">Model 1: OLS with </w:t>
      </w:r>
      <w:r w:rsidR="00DC1134">
        <w:rPr>
          <w:i/>
        </w:rPr>
        <w:t xml:space="preserve">TCAP </w:t>
      </w:r>
      <w:r>
        <w:rPr>
          <w:i/>
        </w:rPr>
        <w:t>Proficiency Rates</w:t>
      </w:r>
    </w:p>
    <w:p w14:paraId="026DF3BF" w14:textId="2A115751" w:rsidR="00322265" w:rsidRDefault="00322265" w:rsidP="00FA1238">
      <w:pPr>
        <w:spacing w:after="0"/>
      </w:pPr>
      <w:r>
        <w:t xml:space="preserve">We first ran an OLS model to examine the effects of county-level funding and demographics on TCAP performance, as described below. </w:t>
      </w:r>
    </w:p>
    <w:p w14:paraId="2608B8BD" w14:textId="77777777" w:rsidR="00322265" w:rsidRPr="00322265" w:rsidRDefault="00322265" w:rsidP="00FA1238">
      <w:pPr>
        <w:spacing w:after="0"/>
      </w:pPr>
    </w:p>
    <w:p w14:paraId="598865B6" w14:textId="0075EF28" w:rsidR="008E2F76" w:rsidRDefault="008E2F76" w:rsidP="008E2F76">
      <w:pPr>
        <w:spacing w:after="0"/>
        <w:rPr>
          <w:rFonts w:cstheme="minorHAnsi"/>
          <w:i/>
        </w:rPr>
      </w:pPr>
      <w:r w:rsidRPr="008E2F76">
        <w:rPr>
          <w:i/>
        </w:rPr>
        <w:t xml:space="preserve">proficiency_rate </w:t>
      </w:r>
      <w:r w:rsidRPr="008E2F76">
        <w:rPr>
          <w:i/>
        </w:rPr>
        <w:t>=</w:t>
      </w:r>
      <w:r w:rsidRPr="008E2F76">
        <w:rPr>
          <w:i/>
        </w:rPr>
        <w:t xml:space="preserve"> </w:t>
      </w:r>
      <w:r w:rsidRPr="00E87442">
        <w:rPr>
          <w:rFonts w:cstheme="minorHAnsi"/>
          <w:i/>
        </w:rPr>
        <w:t>β</w:t>
      </w:r>
      <w:r w:rsidRPr="00E87442">
        <w:rPr>
          <w:i/>
          <w:vertAlign w:val="subscript"/>
        </w:rPr>
        <w:t>0</w:t>
      </w:r>
      <w:r w:rsidRPr="00E87442">
        <w:rPr>
          <w:i/>
        </w:rPr>
        <w:t xml:space="preserve"> + </w:t>
      </w:r>
      <w:r w:rsidRPr="00E87442">
        <w:rPr>
          <w:rFonts w:cstheme="minorHAnsi"/>
          <w:i/>
        </w:rPr>
        <w:t>β</w:t>
      </w:r>
      <w:r w:rsidRPr="00AE3292">
        <w:rPr>
          <w:i/>
          <w:vertAlign w:val="subscript"/>
        </w:rPr>
        <w:t>1</w:t>
      </w:r>
      <w:r w:rsidRPr="008E2F76">
        <w:rPr>
          <w:i/>
        </w:rPr>
        <w:t xml:space="preserve">adm + </w:t>
      </w:r>
      <w:r w:rsidRPr="00E87442">
        <w:rPr>
          <w:rFonts w:cstheme="minorHAnsi"/>
          <w:i/>
        </w:rPr>
        <w:t>β</w:t>
      </w:r>
      <w:r>
        <w:rPr>
          <w:i/>
          <w:vertAlign w:val="subscript"/>
        </w:rPr>
        <w:t>2</w:t>
      </w:r>
      <w:r w:rsidRPr="008E2F76">
        <w:rPr>
          <w:i/>
        </w:rPr>
        <w:t xml:space="preserve">number_of_schools + </w:t>
      </w:r>
      <w:r w:rsidRPr="00E87442">
        <w:rPr>
          <w:rFonts w:cstheme="minorHAnsi"/>
          <w:i/>
        </w:rPr>
        <w:t>β</w:t>
      </w:r>
      <w:r>
        <w:rPr>
          <w:i/>
          <w:vertAlign w:val="subscript"/>
        </w:rPr>
        <w:t>3</w:t>
      </w:r>
      <w:r w:rsidRPr="008E2F76">
        <w:rPr>
          <w:i/>
        </w:rPr>
        <w:t>per_pupi</w:t>
      </w:r>
      <w:r>
        <w:rPr>
          <w:i/>
        </w:rPr>
        <w:t xml:space="preserve">l_funding + </w:t>
      </w:r>
      <w:r w:rsidRPr="00E87442">
        <w:rPr>
          <w:rFonts w:cstheme="minorHAnsi"/>
          <w:i/>
        </w:rPr>
        <w:t>β</w:t>
      </w:r>
      <w:r>
        <w:rPr>
          <w:i/>
          <w:vertAlign w:val="subscript"/>
        </w:rPr>
        <w:t>4</w:t>
      </w:r>
      <w:r>
        <w:rPr>
          <w:i/>
        </w:rPr>
        <w:t xml:space="preserve">pct_swd + </w:t>
      </w:r>
      <w:r w:rsidRPr="00E87442">
        <w:rPr>
          <w:rFonts w:cstheme="minorHAnsi"/>
          <w:i/>
        </w:rPr>
        <w:t>β</w:t>
      </w:r>
      <w:r>
        <w:rPr>
          <w:i/>
          <w:vertAlign w:val="subscript"/>
        </w:rPr>
        <w:t>5</w:t>
      </w:r>
      <w:r>
        <w:rPr>
          <w:i/>
        </w:rPr>
        <w:t xml:space="preserve">pct_ed + </w:t>
      </w:r>
      <w:r w:rsidRPr="00E87442">
        <w:rPr>
          <w:rFonts w:cstheme="minorHAnsi"/>
          <w:i/>
        </w:rPr>
        <w:t>β</w:t>
      </w:r>
      <w:r>
        <w:rPr>
          <w:i/>
          <w:vertAlign w:val="subscript"/>
        </w:rPr>
        <w:t>6</w:t>
      </w:r>
      <w:r w:rsidRPr="008E2F76">
        <w:rPr>
          <w:i/>
        </w:rPr>
        <w:t xml:space="preserve">pct_with_bachelors + </w:t>
      </w:r>
      <w:r w:rsidRPr="00E87442">
        <w:rPr>
          <w:rFonts w:cstheme="minorHAnsi"/>
          <w:i/>
        </w:rPr>
        <w:t>β</w:t>
      </w:r>
      <w:r>
        <w:rPr>
          <w:i/>
          <w:vertAlign w:val="subscript"/>
        </w:rPr>
        <w:t>7</w:t>
      </w:r>
      <w:r w:rsidRPr="008E2F76">
        <w:rPr>
          <w:i/>
        </w:rPr>
        <w:t xml:space="preserve">crime_rate + </w:t>
      </w:r>
      <w:r w:rsidRPr="00E87442">
        <w:rPr>
          <w:rFonts w:cstheme="minorHAnsi"/>
          <w:i/>
        </w:rPr>
        <w:t>β</w:t>
      </w:r>
      <w:r>
        <w:rPr>
          <w:i/>
          <w:vertAlign w:val="subscript"/>
        </w:rPr>
        <w:t>8</w:t>
      </w:r>
      <w:r w:rsidRPr="008E2F76">
        <w:rPr>
          <w:i/>
        </w:rPr>
        <w:t>median_home_sale_price</w:t>
      </w:r>
      <w:r>
        <w:rPr>
          <w:i/>
        </w:rPr>
        <w:t xml:space="preserve"> </w:t>
      </w:r>
      <w:r>
        <w:rPr>
          <w:i/>
        </w:rPr>
        <w:t xml:space="preserve">+ </w:t>
      </w:r>
      <w:r w:rsidRPr="00E87442">
        <w:rPr>
          <w:rFonts w:cstheme="minorHAnsi"/>
          <w:i/>
        </w:rPr>
        <w:t>ε</w:t>
      </w:r>
    </w:p>
    <w:p w14:paraId="055BC3E8" w14:textId="7505175D" w:rsidR="008E2F76" w:rsidRDefault="008E2F76" w:rsidP="008E2F76">
      <w:pPr>
        <w:spacing w:after="0"/>
        <w:rPr>
          <w:rFonts w:cstheme="minorHAnsi"/>
        </w:rPr>
      </w:pPr>
    </w:p>
    <w:p w14:paraId="5F5E4C7C" w14:textId="5EE4066A" w:rsidR="008E2F76" w:rsidRDefault="008E2F76" w:rsidP="008E2F76">
      <w:pPr>
        <w:spacing w:after="0"/>
        <w:rPr>
          <w:rFonts w:cstheme="minorHAnsi"/>
        </w:rPr>
      </w:pPr>
      <w:r>
        <w:rPr>
          <w:rFonts w:cstheme="minorHAnsi"/>
        </w:rPr>
        <w:t xml:space="preserve">where: </w:t>
      </w:r>
    </w:p>
    <w:p w14:paraId="6CD70984" w14:textId="2D003AF2" w:rsidR="008E2F76" w:rsidRDefault="008E2F76" w:rsidP="008E2F76">
      <w:pPr>
        <w:pStyle w:val="ListParagraph"/>
        <w:numPr>
          <w:ilvl w:val="0"/>
          <w:numId w:val="11"/>
        </w:numPr>
        <w:spacing w:after="0"/>
      </w:pPr>
      <w:r w:rsidRPr="008E2F76">
        <w:rPr>
          <w:i/>
        </w:rPr>
        <w:t>adm</w:t>
      </w:r>
      <w:r>
        <w:t xml:space="preserve"> represents the log of average daily membership</w:t>
      </w:r>
    </w:p>
    <w:p w14:paraId="79C78BAF" w14:textId="615DC069" w:rsidR="008E2F76" w:rsidRDefault="008E2F76" w:rsidP="008E2F76">
      <w:pPr>
        <w:pStyle w:val="ListParagraph"/>
        <w:numPr>
          <w:ilvl w:val="0"/>
          <w:numId w:val="11"/>
        </w:numPr>
        <w:spacing w:after="0"/>
      </w:pPr>
      <w:r w:rsidRPr="008E2F76">
        <w:rPr>
          <w:i/>
        </w:rPr>
        <w:t>number_of_schools</w:t>
      </w:r>
      <w:r>
        <w:t xml:space="preserve"> is the log of the number of schools in a given district</w:t>
      </w:r>
    </w:p>
    <w:p w14:paraId="64AB6DCF" w14:textId="48D33139" w:rsidR="008E2F76" w:rsidRDefault="008E2F76" w:rsidP="008E2F76">
      <w:pPr>
        <w:pStyle w:val="ListParagraph"/>
        <w:numPr>
          <w:ilvl w:val="0"/>
          <w:numId w:val="11"/>
        </w:numPr>
        <w:spacing w:after="0"/>
      </w:pPr>
      <w:r w:rsidRPr="008E2F76">
        <w:rPr>
          <w:i/>
        </w:rPr>
        <w:t>per_pupil_funding</w:t>
      </w:r>
      <w:r>
        <w:t xml:space="preserve"> is the logged value of per-pupil expenditures</w:t>
      </w:r>
    </w:p>
    <w:p w14:paraId="69142A93" w14:textId="0CA89253" w:rsidR="008E2F76" w:rsidRDefault="008E2F76" w:rsidP="008E2F76">
      <w:pPr>
        <w:pStyle w:val="ListParagraph"/>
        <w:numPr>
          <w:ilvl w:val="0"/>
          <w:numId w:val="11"/>
        </w:numPr>
        <w:spacing w:after="0"/>
      </w:pPr>
      <w:r w:rsidRPr="008E2F76">
        <w:rPr>
          <w:i/>
        </w:rPr>
        <w:lastRenderedPageBreak/>
        <w:t>pct_swd</w:t>
      </w:r>
      <w:r>
        <w:t xml:space="preserve"> is the logged proportion of students in the district with a disability</w:t>
      </w:r>
    </w:p>
    <w:p w14:paraId="3A0244A2" w14:textId="76058D79" w:rsidR="008E2F76" w:rsidRDefault="008E2F76" w:rsidP="008E2F76">
      <w:pPr>
        <w:pStyle w:val="ListParagraph"/>
        <w:numPr>
          <w:ilvl w:val="0"/>
          <w:numId w:val="11"/>
        </w:numPr>
        <w:spacing w:after="0"/>
      </w:pPr>
      <w:r>
        <w:rPr>
          <w:i/>
        </w:rPr>
        <w:t xml:space="preserve">pct_ed </w:t>
      </w:r>
      <w:r>
        <w:t>is the logged proportion of students in the district who are economically disadvantaged</w:t>
      </w:r>
    </w:p>
    <w:p w14:paraId="79904079" w14:textId="7F918285" w:rsidR="008E2F76" w:rsidRDefault="008E2F76" w:rsidP="008E2F76">
      <w:pPr>
        <w:pStyle w:val="ListParagraph"/>
        <w:numPr>
          <w:ilvl w:val="0"/>
          <w:numId w:val="11"/>
        </w:numPr>
        <w:spacing w:after="0"/>
      </w:pPr>
      <w:r>
        <w:rPr>
          <w:i/>
        </w:rPr>
        <w:t>pct_with_bachelors</w:t>
      </w:r>
      <w:r>
        <w:t xml:space="preserve"> represents the logged proportion of county adults (ages 25-64) with bachelor’s degrees</w:t>
      </w:r>
    </w:p>
    <w:p w14:paraId="4E115E9B" w14:textId="55229DAF" w:rsidR="008E2F76" w:rsidRDefault="008E2F76" w:rsidP="008E2F76">
      <w:pPr>
        <w:pStyle w:val="ListParagraph"/>
        <w:numPr>
          <w:ilvl w:val="0"/>
          <w:numId w:val="11"/>
        </w:numPr>
        <w:spacing w:after="0"/>
      </w:pPr>
      <w:r>
        <w:rPr>
          <w:i/>
        </w:rPr>
        <w:t xml:space="preserve">crime_rate </w:t>
      </w:r>
      <w:r>
        <w:t xml:space="preserve">is the log of the crime rate per 1000 residents, and </w:t>
      </w:r>
    </w:p>
    <w:p w14:paraId="2C08185E" w14:textId="7AED41D7" w:rsidR="008E2F76" w:rsidRPr="008E2F76" w:rsidRDefault="008E2F76" w:rsidP="008E2F76">
      <w:pPr>
        <w:pStyle w:val="ListParagraph"/>
        <w:numPr>
          <w:ilvl w:val="0"/>
          <w:numId w:val="11"/>
        </w:numPr>
        <w:spacing w:after="0"/>
      </w:pPr>
      <w:r>
        <w:rPr>
          <w:i/>
        </w:rPr>
        <w:t xml:space="preserve">median_home_sale_price </w:t>
      </w:r>
      <w:r>
        <w:t>is the log of the median home sale price for the county in a given year</w:t>
      </w:r>
    </w:p>
    <w:p w14:paraId="17AC3052" w14:textId="37261118" w:rsidR="00FA1238" w:rsidRDefault="00FA1238" w:rsidP="00D17F4F">
      <w:pPr>
        <w:spacing w:after="0" w:line="240" w:lineRule="auto"/>
      </w:pPr>
    </w:p>
    <w:p w14:paraId="4A6AA075" w14:textId="67FC797A" w:rsidR="00A81883" w:rsidRDefault="00A81883" w:rsidP="00D17F4F">
      <w:pPr>
        <w:spacing w:after="0" w:line="240" w:lineRule="auto"/>
      </w:pPr>
      <w:r>
        <w:t xml:space="preserve">The table below lists the coefficients, standard error, t values, and alpha levels for each of the predictor variables outlined above. </w:t>
      </w:r>
    </w:p>
    <w:p w14:paraId="759CE810" w14:textId="77777777" w:rsidR="00CE3F6D" w:rsidRDefault="00CE3F6D" w:rsidP="00CE3F6D">
      <w:pPr>
        <w:spacing w:after="0" w:line="240" w:lineRule="auto"/>
      </w:pPr>
    </w:p>
    <w:p w14:paraId="1F7F9EBB"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Coefficients:</w:t>
      </w:r>
    </w:p>
    <w:p w14:paraId="7DF93B94"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 xml:space="preserve">                       Estimate Std. Error t value Pr(&gt;|t|)    </w:t>
      </w:r>
    </w:p>
    <w:p w14:paraId="5D6FA030"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(Intercept)             7.91725    1.46011   5.422 8.95e-08 ***</w:t>
      </w:r>
    </w:p>
    <w:p w14:paraId="1E61425B"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adm                     0.23332    0.06761   3.451 0.000603 ***</w:t>
      </w:r>
    </w:p>
    <w:p w14:paraId="143B6CA3"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number_of_schools      -0.31667    0.06708  -4.721 3.01e-06 ***</w:t>
      </w:r>
    </w:p>
    <w:p w14:paraId="46C358F2"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per_pupil_funding      -0.76469    0.15443  -4.952 9.91e-07 ***</w:t>
      </w:r>
    </w:p>
    <w:p w14:paraId="4F380A70"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 xml:space="preserve">pct_swd                -0.02493    0.07142  -0.349 0.727135    </w:t>
      </w:r>
    </w:p>
    <w:p w14:paraId="33F55250"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pct_ed                  0.10238    0.02347   4.361 1.55e-05 ***</w:t>
      </w:r>
    </w:p>
    <w:p w14:paraId="6563A8EB"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pct_with_bachelors      0.38358    0.05184   7.400 5.39e-13 ***</w:t>
      </w:r>
    </w:p>
    <w:p w14:paraId="3B5421C1"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 xml:space="preserve">crime_rate             -0.07285    0.04574  -1.593 0.111798    </w:t>
      </w:r>
    </w:p>
    <w:p w14:paraId="259FAF8C"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 xml:space="preserve">median_home_sale_price  0.03368    0.06951   0.485 0.628187    </w:t>
      </w:r>
    </w:p>
    <w:p w14:paraId="7A1E5DCE"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w:t>
      </w:r>
    </w:p>
    <w:p w14:paraId="7A01A0C4" w14:textId="77777777" w:rsidR="00CE3F6D" w:rsidRPr="00A81883" w:rsidRDefault="00CE3F6D" w:rsidP="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A81883">
        <w:rPr>
          <w:rFonts w:ascii="Lucida Console" w:eastAsia="Times New Roman" w:hAnsi="Lucida Console" w:cs="Courier New"/>
          <w:color w:val="FFFFFF"/>
          <w:sz w:val="20"/>
          <w:szCs w:val="20"/>
          <w:bdr w:val="none" w:sz="0" w:space="0" w:color="auto" w:frame="1"/>
        </w:rPr>
        <w:t>Signif. codes:  0 ‘***’ 0.001 ‘**’ 0.01 ‘*’ 0.05 ‘.’ 0.1 ‘ ’ 1</w:t>
      </w:r>
    </w:p>
    <w:p w14:paraId="4A8F46D3" w14:textId="0E0BC1A6" w:rsidR="00CE3F6D" w:rsidRDefault="00CE3F6D" w:rsidP="00D17F4F">
      <w:pPr>
        <w:spacing w:after="0" w:line="240" w:lineRule="auto"/>
      </w:pPr>
    </w:p>
    <w:p w14:paraId="7410C801" w14:textId="1BCBE9EF" w:rsidR="00CE3F6D" w:rsidRDefault="00CE3F6D" w:rsidP="00D17F4F">
      <w:pPr>
        <w:spacing w:after="0" w:line="240" w:lineRule="auto"/>
      </w:pPr>
      <w:r>
        <w:t>This OLS model is significant (F</w:t>
      </w:r>
      <w:r w:rsidRPr="00CE3F6D">
        <w:rPr>
          <w:vertAlign w:val="subscript"/>
        </w:rPr>
        <w:t>8, 530</w:t>
      </w:r>
      <w:r>
        <w:t xml:space="preserve"> = 21.95, p &lt; 0.0001) and explains 33 percent of the variation in the data, as shown in the output below.</w:t>
      </w:r>
    </w:p>
    <w:p w14:paraId="1FEF3C03" w14:textId="77777777" w:rsidR="00CE3F6D" w:rsidRDefault="00CE3F6D" w:rsidP="00D17F4F">
      <w:pPr>
        <w:spacing w:after="0" w:line="240" w:lineRule="auto"/>
      </w:pPr>
    </w:p>
    <w:p w14:paraId="6EAECA4B" w14:textId="77777777" w:rsidR="00CE3F6D" w:rsidRDefault="00CE3F6D" w:rsidP="00CE3F6D">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 standard error: 0.3348 on 530 degrees of freedom</w:t>
      </w:r>
    </w:p>
    <w:p w14:paraId="429380E1" w14:textId="77777777" w:rsidR="00CE3F6D" w:rsidRDefault="00CE3F6D" w:rsidP="00CE3F6D">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Multiple R-squared:  0.2489,</w:t>
      </w:r>
      <w:r>
        <w:rPr>
          <w:rStyle w:val="gnkrckgcgsb"/>
          <w:rFonts w:ascii="Lucida Console" w:hAnsi="Lucida Console"/>
          <w:color w:val="FFFFFF"/>
          <w:bdr w:val="none" w:sz="0" w:space="0" w:color="auto" w:frame="1"/>
        </w:rPr>
        <w:tab/>
        <w:t xml:space="preserve">Adjusted R-squared:  0.2375 </w:t>
      </w:r>
    </w:p>
    <w:p w14:paraId="2FC4054A" w14:textId="77777777" w:rsidR="00CE3F6D" w:rsidRDefault="00CE3F6D" w:rsidP="00CE3F6D">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F-statistic: 21.95 on 8 and 530 DF,  p-value: &lt; 2.2e-16</w:t>
      </w:r>
    </w:p>
    <w:p w14:paraId="33A66C24" w14:textId="397C8CB7" w:rsidR="00A81883" w:rsidRDefault="00A81883" w:rsidP="00D17F4F">
      <w:pPr>
        <w:spacing w:after="0" w:line="240" w:lineRule="auto"/>
      </w:pPr>
    </w:p>
    <w:p w14:paraId="7862733A" w14:textId="562D3AF0" w:rsidR="00DC1134" w:rsidRDefault="00DC1134" w:rsidP="00DC1134">
      <w:pPr>
        <w:spacing w:after="0"/>
        <w:rPr>
          <w:i/>
        </w:rPr>
      </w:pPr>
      <w:r>
        <w:rPr>
          <w:i/>
        </w:rPr>
        <w:t xml:space="preserve">Model </w:t>
      </w:r>
      <w:r>
        <w:rPr>
          <w:i/>
        </w:rPr>
        <w:t>2</w:t>
      </w:r>
      <w:r>
        <w:rPr>
          <w:i/>
        </w:rPr>
        <w:t xml:space="preserve">: OLS with </w:t>
      </w:r>
      <w:r>
        <w:rPr>
          <w:i/>
        </w:rPr>
        <w:t>TVAAS Composites</w:t>
      </w:r>
    </w:p>
    <w:p w14:paraId="203AF157" w14:textId="2D0EFD39" w:rsidR="009E43E8" w:rsidRDefault="009E43E8" w:rsidP="00DC1134">
      <w:pPr>
        <w:spacing w:after="0"/>
      </w:pPr>
      <w:r>
        <w:t xml:space="preserve">We also regressed these same predictor variables on </w:t>
      </w:r>
      <w:r w:rsidR="005E3E91">
        <w:t xml:space="preserve">districts’ overall TVAAS composites. Recall that these value-added </w:t>
      </w:r>
      <w:r w:rsidR="00306EEF">
        <w:t>composites are measures of statistical certainty that students made more academic growth than was expected based on their prior testing histories. It is worth noting that value-added estimates are uncorrelated with student poverty.</w:t>
      </w:r>
    </w:p>
    <w:p w14:paraId="06C175E2" w14:textId="4DF6C27D" w:rsidR="009E43E8" w:rsidRDefault="009E43E8" w:rsidP="00DC1134">
      <w:pPr>
        <w:spacing w:after="0"/>
      </w:pPr>
    </w:p>
    <w:p w14:paraId="1AEEBA38"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w:t>
      </w:r>
    </w:p>
    <w:p w14:paraId="536AA6AC"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t value Pr(&gt;|t|)    </w:t>
      </w:r>
    </w:p>
    <w:p w14:paraId="3D88F465"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(Intercept)             -3.8908     7.2788  -0.535 0.593193    </w:t>
      </w:r>
    </w:p>
    <w:p w14:paraId="4A148D59"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adm                      1.1168     0.3370   3.314 0.000984 ***</w:t>
      </w:r>
    </w:p>
    <w:p w14:paraId="117F7430"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number_of_schools       -1.3753     0.3344  -4.113 4.53e-05 ***</w:t>
      </w:r>
    </w:p>
    <w:p w14:paraId="61991BA5"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per_pupil_funding        0.8296     0.7699   1.078 0.281709    </w:t>
      </w:r>
    </w:p>
    <w:p w14:paraId="49C66A59"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pct_swd                 -0.4020     0.3560  -1.129 0.259347    </w:t>
      </w:r>
    </w:p>
    <w:p w14:paraId="5BEAB744"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pct_ed                  -0.2085     0.1170  -1.782 0.075376 .  </w:t>
      </w:r>
    </w:p>
    <w:p w14:paraId="56858ADC"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pct_with_bachelors       0.7353     0.2584   2.845 0.004610 ** </w:t>
      </w:r>
    </w:p>
    <w:p w14:paraId="5C2D0DFC"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crime_rate              -0.3592     0.2280  -1.575 0.115747    </w:t>
      </w:r>
    </w:p>
    <w:p w14:paraId="477E643F"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median_home_sale_price  -0.4948     0.3465  -1.428 0.153875    </w:t>
      </w:r>
    </w:p>
    <w:p w14:paraId="56D8ADB6"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1DEFBCC9" w14:textId="20F82F63"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Signif. codes:  0 ‘***’ 0.001 ‘</w:t>
      </w:r>
      <w:r>
        <w:rPr>
          <w:rStyle w:val="gnkrckgcgsb"/>
          <w:rFonts w:ascii="Lucida Console" w:hAnsi="Lucida Console"/>
          <w:color w:val="FFFFFF"/>
          <w:bdr w:val="none" w:sz="0" w:space="0" w:color="auto" w:frame="1"/>
        </w:rPr>
        <w:t>**’ 0.01 ‘*’ 0.05 ‘.’ 0.1 ‘ ’ 1</w:t>
      </w:r>
    </w:p>
    <w:p w14:paraId="0D4F908B" w14:textId="6C3EACB3" w:rsidR="00937541" w:rsidRDefault="00937541" w:rsidP="00DC1134">
      <w:pPr>
        <w:spacing w:after="0"/>
      </w:pPr>
    </w:p>
    <w:p w14:paraId="3B7430A9" w14:textId="61888C3B" w:rsidR="00937541" w:rsidRDefault="00937541" w:rsidP="00DC1134">
      <w:pPr>
        <w:spacing w:after="0"/>
      </w:pPr>
      <w:r>
        <w:t xml:space="preserve">This OLS model is </w:t>
      </w:r>
      <w:r w:rsidR="00461A12">
        <w:t>s</w:t>
      </w:r>
      <w:r w:rsidR="00AC689D">
        <w:t>till</w:t>
      </w:r>
      <w:r>
        <w:t xml:space="preserve"> significant </w:t>
      </w:r>
      <w:r>
        <w:t>(F</w:t>
      </w:r>
      <w:r w:rsidRPr="00CE3F6D">
        <w:rPr>
          <w:vertAlign w:val="subscript"/>
        </w:rPr>
        <w:t>8, 530</w:t>
      </w:r>
      <w:r>
        <w:t xml:space="preserve"> = </w:t>
      </w:r>
      <w:r w:rsidR="00C6746F">
        <w:t>6.493</w:t>
      </w:r>
      <w:r>
        <w:t>, p &lt; 0.0001),</w:t>
      </w:r>
      <w:r>
        <w:t xml:space="preserve"> though it explains less of the variance in the data (R</w:t>
      </w:r>
      <w:r w:rsidRPr="00937541">
        <w:rPr>
          <w:vertAlign w:val="superscript"/>
        </w:rPr>
        <w:t>2</w:t>
      </w:r>
      <w:r w:rsidR="00805304">
        <w:t xml:space="preserve"> = 0.08926) and some of the coefficient estimates are no longer significant (e.g., per-pupil funding</w:t>
      </w:r>
      <w:r w:rsidR="00A335E0">
        <w:t xml:space="preserve"> and</w:t>
      </w:r>
      <w:r w:rsidR="00805304">
        <w:t xml:space="preserve"> percent of economically disadvantaged students</w:t>
      </w:r>
      <w:r w:rsidR="00A335E0">
        <w:t>).</w:t>
      </w:r>
      <w:r w:rsidR="00805304">
        <w:t xml:space="preserve">  </w:t>
      </w:r>
    </w:p>
    <w:p w14:paraId="4577E4AF" w14:textId="77777777" w:rsidR="00937541" w:rsidRPr="009E43E8" w:rsidRDefault="00937541" w:rsidP="00DC1134">
      <w:pPr>
        <w:spacing w:after="0"/>
      </w:pPr>
    </w:p>
    <w:p w14:paraId="3B57A47C"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 standard error: 1.669 on 530 degrees of freedom</w:t>
      </w:r>
    </w:p>
    <w:p w14:paraId="2C4DFB3F" w14:textId="77777777" w:rsidR="00937541" w:rsidRDefault="00937541" w:rsidP="00937541">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Multiple R-squared:  0.08926,</w:t>
      </w:r>
      <w:r>
        <w:rPr>
          <w:rStyle w:val="gnkrckgcgsb"/>
          <w:rFonts w:ascii="Lucida Console" w:hAnsi="Lucida Console"/>
          <w:color w:val="FFFFFF"/>
          <w:bdr w:val="none" w:sz="0" w:space="0" w:color="auto" w:frame="1"/>
        </w:rPr>
        <w:tab/>
        <w:t xml:space="preserve">Adjusted R-squared:  0.07551 </w:t>
      </w:r>
    </w:p>
    <w:p w14:paraId="46AC5D54" w14:textId="77777777" w:rsidR="00937541" w:rsidRDefault="00937541" w:rsidP="00937541">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F-statistic: 6.493 on 8 and 530 DF,  p-value: 4.404e-08</w:t>
      </w:r>
    </w:p>
    <w:p w14:paraId="08AEF773" w14:textId="77777777" w:rsidR="00937541" w:rsidRPr="00937541" w:rsidRDefault="00937541" w:rsidP="00DC1134">
      <w:pPr>
        <w:spacing w:after="0"/>
      </w:pPr>
    </w:p>
    <w:p w14:paraId="3B07ED82" w14:textId="4EF1DD64" w:rsidR="00DC1134" w:rsidRDefault="00DC1134" w:rsidP="00DC1134">
      <w:pPr>
        <w:spacing w:after="0"/>
        <w:rPr>
          <w:i/>
        </w:rPr>
      </w:pPr>
      <w:r>
        <w:rPr>
          <w:i/>
        </w:rPr>
        <w:t>Model 3: Fixed-Effects Model with TCAP Proficiency Rates</w:t>
      </w:r>
    </w:p>
    <w:p w14:paraId="335B3921" w14:textId="31C4929B" w:rsidR="00A863A7" w:rsidRDefault="00A863A7" w:rsidP="00A863A7">
      <w:pPr>
        <w:spacing w:after="0"/>
      </w:pPr>
      <w:r>
        <w:t xml:space="preserve">We also ran fixed-effects models to account for any between-district variation that was not adequately captured in the OLS models. </w:t>
      </w:r>
      <w:r w:rsidR="005358D0">
        <w:t>These models still revealed significant effects of per-pupil funding and the percent of students who are economically disadvantaged, though some other minor differences emerged. These models also explained roughly the same proportion of the variance in the data (R</w:t>
      </w:r>
      <w:r w:rsidR="005358D0" w:rsidRPr="00C464FB">
        <w:rPr>
          <w:vertAlign w:val="superscript"/>
        </w:rPr>
        <w:t>2</w:t>
      </w:r>
      <w:r w:rsidR="005358D0">
        <w:t xml:space="preserve"> = 0.31612)</w:t>
      </w:r>
      <w:r w:rsidR="00C464FB">
        <w:t>.</w:t>
      </w:r>
    </w:p>
    <w:p w14:paraId="255E21CB" w14:textId="77777777" w:rsidR="005358D0" w:rsidRDefault="005358D0" w:rsidP="00A863A7">
      <w:pPr>
        <w:spacing w:after="0"/>
      </w:pPr>
    </w:p>
    <w:p w14:paraId="4131F054"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w:t>
      </w:r>
    </w:p>
    <w:p w14:paraId="33DDA1EE"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t-value  Pr(&gt;|t|)    </w:t>
      </w:r>
    </w:p>
    <w:p w14:paraId="5899F203"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adm                     0.521712   0.402035  1.2977  0.195159    </w:t>
      </w:r>
    </w:p>
    <w:p w14:paraId="24E65307"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number_of_schools       0.302379   0.257663  1.1735  0.241289    </w:t>
      </w:r>
    </w:p>
    <w:p w14:paraId="330C09A3"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per_pupil_funding      -0.965893   0.317513 -3.0421  0.002507 ** </w:t>
      </w:r>
    </w:p>
    <w:p w14:paraId="6FDA80BD"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pct_swd                 0.069774   0.093186  0.7488  0.454450    </w:t>
      </w:r>
    </w:p>
    <w:p w14:paraId="2C89BA4A"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pct_ed                  0.231205   0.024215  9.5479 &lt; 2.2e-16 ***</w:t>
      </w:r>
    </w:p>
    <w:p w14:paraId="3ABC6474"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crime_rate              0.188341   0.134745  1.3978  0.162975    </w:t>
      </w:r>
    </w:p>
    <w:p w14:paraId="68667920"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median_home_sale_price -0.516573   0.202843 -2.5467  0.011256 *  </w:t>
      </w:r>
    </w:p>
    <w:p w14:paraId="3E41A94D"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7808BF4B"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Signif. codes:  0 ‘***’ 0.001 ‘**’ 0.01 ‘*’ 0.05 ‘.’ 0.1 ‘ ’ 1</w:t>
      </w:r>
    </w:p>
    <w:p w14:paraId="029F95AA"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14:paraId="3F3D4026"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Total Sum of Squares:    37.985</w:t>
      </w:r>
    </w:p>
    <w:p w14:paraId="2BD2BDC9"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 Sum of Squares: 25.978</w:t>
      </w:r>
    </w:p>
    <w:p w14:paraId="4EC7998A"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R-Squared:      0.31612</w:t>
      </w:r>
    </w:p>
    <w:p w14:paraId="5A5A34F3" w14:textId="77777777" w:rsidR="00A863A7" w:rsidRDefault="00A863A7" w:rsidP="00A863A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Adj. R-Squared: 0.063793</w:t>
      </w:r>
    </w:p>
    <w:p w14:paraId="51AE24BE" w14:textId="77777777" w:rsidR="00A863A7" w:rsidRDefault="00A863A7" w:rsidP="00A863A7">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F-statistic: 25.9514 on 7 and 393 DF, p-value: &lt; 2.22e-16</w:t>
      </w:r>
    </w:p>
    <w:p w14:paraId="4432BC73" w14:textId="77777777" w:rsidR="00A863A7" w:rsidRDefault="00A863A7" w:rsidP="00A863A7">
      <w:pPr>
        <w:spacing w:after="0"/>
      </w:pPr>
    </w:p>
    <w:p w14:paraId="03A9B196" w14:textId="1509B98C" w:rsidR="00DC1134" w:rsidRDefault="00DC1134" w:rsidP="00DC1134">
      <w:pPr>
        <w:spacing w:after="0"/>
        <w:rPr>
          <w:i/>
        </w:rPr>
      </w:pPr>
      <w:r>
        <w:rPr>
          <w:i/>
        </w:rPr>
        <w:t>Model 4: Fixed-Effects Model with TVAAS Composites</w:t>
      </w:r>
    </w:p>
    <w:p w14:paraId="311FE309" w14:textId="18261C6E" w:rsidR="00B00A95" w:rsidRDefault="006B4EE3" w:rsidP="00DC1134">
      <w:pPr>
        <w:spacing w:after="0"/>
      </w:pPr>
      <w:r>
        <w:t>We also ran another</w:t>
      </w:r>
      <w:r w:rsidR="006D2552">
        <w:t xml:space="preserve"> fixed-effects model </w:t>
      </w:r>
      <w:r>
        <w:t xml:space="preserve">regressing on value-added performance. This model </w:t>
      </w:r>
      <w:r w:rsidR="006D2552">
        <w:t>explai</w:t>
      </w:r>
      <w:r>
        <w:t>ns very little of the variation.</w:t>
      </w:r>
    </w:p>
    <w:p w14:paraId="091D7943" w14:textId="77777777" w:rsidR="0040538D" w:rsidRPr="00B00A95" w:rsidRDefault="0040538D" w:rsidP="00DC1134">
      <w:pPr>
        <w:spacing w:after="0"/>
      </w:pPr>
    </w:p>
    <w:p w14:paraId="310159E4" w14:textId="77777777" w:rsidR="00B00A95" w:rsidRDefault="00B00A95" w:rsidP="00B00A95">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w:t>
      </w:r>
    </w:p>
    <w:p w14:paraId="1BE252B4" w14:textId="77777777" w:rsidR="00B00A95" w:rsidRDefault="00B00A95" w:rsidP="00B00A95">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t-value Pr(&gt;|t|)  </w:t>
      </w:r>
    </w:p>
    <w:p w14:paraId="548B72D2" w14:textId="77777777" w:rsidR="00B00A95" w:rsidRDefault="00B00A95" w:rsidP="00B00A95">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adm                    -4.92903    2.32476 -2.1202  0.03461 *</w:t>
      </w:r>
    </w:p>
    <w:p w14:paraId="04C0BB4F" w14:textId="77777777" w:rsidR="00B00A95" w:rsidRDefault="00B00A95" w:rsidP="00B00A95">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number_of_schools       0.97698    1.48994  0.6557  0.51239  </w:t>
      </w:r>
    </w:p>
    <w:p w14:paraId="70DE7114" w14:textId="77777777" w:rsidR="00B00A95" w:rsidRDefault="00B00A95" w:rsidP="00B00A95">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per_pupil_funding       3.69472    1.83602  2.0124  0.04486 *</w:t>
      </w:r>
    </w:p>
    <w:p w14:paraId="20A512FD" w14:textId="77777777" w:rsidR="00B00A95" w:rsidRDefault="00B00A95" w:rsidP="00B00A95">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pct_swd                -0.64233    0.53885 -1.1920  0.23396  </w:t>
      </w:r>
    </w:p>
    <w:p w14:paraId="77D63E29" w14:textId="77777777" w:rsidR="00B00A95" w:rsidRDefault="00B00A95" w:rsidP="00B00A95">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pct_ed                 -0.26426    0.14002 -1.8872  0.05986 .</w:t>
      </w:r>
    </w:p>
    <w:p w14:paraId="711BAB52" w14:textId="77777777" w:rsidR="00B00A95" w:rsidRDefault="00B00A95" w:rsidP="00B00A95">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crime_rate             -0.35371    0.77916 -0.4540  0.65011  </w:t>
      </w:r>
    </w:p>
    <w:p w14:paraId="4D884F84" w14:textId="77777777" w:rsidR="00B00A95" w:rsidRDefault="00B00A95" w:rsidP="00B00A95">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median_home_sale_price -1.25752    1.17294 -1.0721  0.28433  </w:t>
      </w:r>
    </w:p>
    <w:p w14:paraId="015F55FF" w14:textId="77777777" w:rsidR="00B00A95" w:rsidRDefault="00B00A95" w:rsidP="00B00A95">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4172BF59" w14:textId="77777777" w:rsidR="00B00A95" w:rsidRDefault="00B00A95" w:rsidP="00B00A95">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Signif. codes:  0 ‘***’ 0.001 ‘**’ 0.01 ‘*’ 0.05 ‘.’ 0.1 ‘ ’ 1</w:t>
      </w:r>
    </w:p>
    <w:p w14:paraId="176255E7" w14:textId="6C9B86E5" w:rsidR="00DC1134" w:rsidRDefault="00DC1134" w:rsidP="00D17F4F">
      <w:pPr>
        <w:spacing w:after="0" w:line="240" w:lineRule="auto"/>
      </w:pPr>
    </w:p>
    <w:p w14:paraId="2592F821" w14:textId="18E36951" w:rsidR="00B724D6" w:rsidRDefault="00B724D6" w:rsidP="00D17F4F">
      <w:pPr>
        <w:spacing w:after="0" w:line="240" w:lineRule="auto"/>
      </w:pPr>
      <w:r>
        <w:lastRenderedPageBreak/>
        <w:t>Interestingly between model 3 and model 4, per-pupil funding was a significant predictor of academic performance in both instances, but its impact had an opposite effect on TCAP and value-added performance (i.e., while increases in per-pupil funding are associated with higher levels of academic improvement, increases in per-pupil funding also appear to have a negative relationship with academic proficiency rates).</w:t>
      </w:r>
    </w:p>
    <w:p w14:paraId="674BF8AD" w14:textId="68900426" w:rsidR="00B724D6" w:rsidRDefault="00B724D6" w:rsidP="00D17F4F">
      <w:pPr>
        <w:spacing w:after="0" w:line="240" w:lineRule="auto"/>
      </w:pPr>
    </w:p>
    <w:p w14:paraId="77FC16F1" w14:textId="17795B11" w:rsidR="00B724D6" w:rsidRDefault="00B724D6" w:rsidP="00D17F4F">
      <w:pPr>
        <w:spacing w:after="0" w:line="240" w:lineRule="auto"/>
      </w:pPr>
      <w:r>
        <w:t>Additionally, the fixed-effects model looking at the outcome variable of value-added performance explains very little of the variation in the data, which should give us pause in interpreting the results.</w:t>
      </w:r>
    </w:p>
    <w:p w14:paraId="6BF60054" w14:textId="77777777" w:rsidR="00B724D6" w:rsidRDefault="00B724D6" w:rsidP="00D17F4F">
      <w:pPr>
        <w:spacing w:after="0" w:line="240" w:lineRule="auto"/>
      </w:pPr>
    </w:p>
    <w:p w14:paraId="29D0CC04" w14:textId="77777777" w:rsidR="00B724D6" w:rsidRDefault="00B724D6" w:rsidP="00B724D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Total Sum of Squares:    907.33</w:t>
      </w:r>
    </w:p>
    <w:p w14:paraId="4A2F76B7" w14:textId="77777777" w:rsidR="00B724D6" w:rsidRDefault="00B724D6" w:rsidP="00B724D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 Sum of Squares: 868.62</w:t>
      </w:r>
    </w:p>
    <w:p w14:paraId="19EA2C57" w14:textId="77777777" w:rsidR="00B724D6" w:rsidRDefault="00B724D6" w:rsidP="00B724D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R-Squared:      0.042669</w:t>
      </w:r>
    </w:p>
    <w:p w14:paraId="47B3C19F" w14:textId="77777777" w:rsidR="00B724D6" w:rsidRDefault="00B724D6" w:rsidP="00B724D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Adj. R-Squared: -0.31054</w:t>
      </w:r>
    </w:p>
    <w:p w14:paraId="5617DD8E" w14:textId="77777777" w:rsidR="00B724D6" w:rsidRDefault="00B724D6" w:rsidP="00B724D6">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F-statistic: 2.50234 on 7 and 393 DF, p-value: 0.015879</w:t>
      </w:r>
    </w:p>
    <w:p w14:paraId="14B4507D" w14:textId="77777777" w:rsidR="00C73D51" w:rsidRDefault="00C73D51" w:rsidP="00D17F4F">
      <w:pPr>
        <w:spacing w:after="0" w:line="240" w:lineRule="auto"/>
      </w:pPr>
    </w:p>
    <w:p w14:paraId="63D1C122" w14:textId="7A6D2F73" w:rsidR="00DC1134" w:rsidRDefault="00ED0869" w:rsidP="00D17F4F">
      <w:pPr>
        <w:spacing w:after="0" w:line="240" w:lineRule="auto"/>
        <w:rPr>
          <w:i/>
        </w:rPr>
      </w:pPr>
      <w:r w:rsidRPr="00ED0869">
        <w:rPr>
          <w:i/>
        </w:rPr>
        <w:t>Model Specification Tests</w:t>
      </w:r>
    </w:p>
    <w:p w14:paraId="49C24B3C" w14:textId="2AB19CD2" w:rsidR="00C1624C" w:rsidRPr="00C1624C" w:rsidRDefault="00B724D6" w:rsidP="00D17F4F">
      <w:pPr>
        <w:spacing w:after="0" w:line="240" w:lineRule="auto"/>
      </w:pPr>
      <w:r>
        <w:t>We plotted the residuals of each model described above to confirm that the residuals are evenly distributed around a mean of 0. As shown in the plot of residuals from model 1, there are some concerns that the variation is heteroskedastic.</w:t>
      </w:r>
    </w:p>
    <w:p w14:paraId="50EA48F0" w14:textId="77777777" w:rsidR="00C1624C" w:rsidRPr="00ED0869" w:rsidRDefault="00C1624C" w:rsidP="00D17F4F">
      <w:pPr>
        <w:spacing w:after="0" w:line="240" w:lineRule="auto"/>
        <w:rPr>
          <w:i/>
        </w:rPr>
      </w:pPr>
    </w:p>
    <w:p w14:paraId="58C8ED66" w14:textId="69AB93DA" w:rsidR="00DC1134" w:rsidRDefault="00C1624C" w:rsidP="00D17F4F">
      <w:pPr>
        <w:spacing w:after="0" w:line="240" w:lineRule="auto"/>
      </w:pPr>
      <w:r>
        <w:rPr>
          <w:noProof/>
        </w:rPr>
        <w:drawing>
          <wp:inline distT="0" distB="0" distL="0" distR="0" wp14:anchorId="76540C8D" wp14:editId="6E12097C">
            <wp:extent cx="5943612" cy="3657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1_residua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2F1BD978" w14:textId="77777777" w:rsidR="00C1624C" w:rsidRDefault="00C1624C" w:rsidP="00D17F4F">
      <w:pPr>
        <w:spacing w:after="0" w:line="240" w:lineRule="auto"/>
      </w:pPr>
    </w:p>
    <w:p w14:paraId="0087E4D5" w14:textId="28DCF0F4" w:rsidR="00DC1134" w:rsidRDefault="00C1624C" w:rsidP="00D17F4F">
      <w:pPr>
        <w:spacing w:after="0" w:line="240" w:lineRule="auto"/>
      </w:pPr>
      <w:r>
        <w:rPr>
          <w:noProof/>
        </w:rPr>
        <w:lastRenderedPageBreak/>
        <w:drawing>
          <wp:inline distT="0" distB="0" distL="0" distR="0" wp14:anchorId="7EE54278" wp14:editId="31551A41">
            <wp:extent cx="5943612" cy="36576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2_residual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3F14831A" w14:textId="3CA398BD" w:rsidR="00C1624C" w:rsidRDefault="00C1624C" w:rsidP="00D17F4F">
      <w:pPr>
        <w:spacing w:after="0" w:line="240" w:lineRule="auto"/>
      </w:pPr>
    </w:p>
    <w:p w14:paraId="6B276EFD" w14:textId="376E9D1C" w:rsidR="00C1624C" w:rsidRDefault="00C1624C" w:rsidP="00D17F4F">
      <w:pPr>
        <w:spacing w:after="0" w:line="240" w:lineRule="auto"/>
      </w:pPr>
      <w:r>
        <w:rPr>
          <w:noProof/>
        </w:rPr>
        <w:drawing>
          <wp:inline distT="0" distB="0" distL="0" distR="0" wp14:anchorId="57B7CE3A" wp14:editId="6C2736CF">
            <wp:extent cx="5943612" cy="36576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3_residua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298E0308" w14:textId="6ADDC296" w:rsidR="00C1624C" w:rsidRDefault="00C1624C" w:rsidP="00D17F4F">
      <w:pPr>
        <w:spacing w:after="0" w:line="240" w:lineRule="auto"/>
      </w:pPr>
    </w:p>
    <w:p w14:paraId="587EE33C" w14:textId="38E775D9" w:rsidR="00C1624C" w:rsidRPr="00FA1238" w:rsidRDefault="00C1624C" w:rsidP="00D17F4F">
      <w:pPr>
        <w:spacing w:after="0" w:line="240" w:lineRule="auto"/>
      </w:pPr>
      <w:r>
        <w:rPr>
          <w:noProof/>
        </w:rPr>
        <w:lastRenderedPageBreak/>
        <w:drawing>
          <wp:inline distT="0" distB="0" distL="0" distR="0" wp14:anchorId="22A0E79E" wp14:editId="31C1FF55">
            <wp:extent cx="5943612" cy="36576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4_residual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1DE64426" w14:textId="1BC0D9C3" w:rsidR="00D17F4F" w:rsidRDefault="00D17F4F" w:rsidP="00D17F4F">
      <w:pPr>
        <w:spacing w:after="0" w:line="240" w:lineRule="auto"/>
        <w:rPr>
          <w:i/>
        </w:rPr>
      </w:pPr>
      <w:r>
        <w:rPr>
          <w:i/>
        </w:rPr>
        <w:t>Relationship between P</w:t>
      </w:r>
      <w:r w:rsidRPr="00D17F4F">
        <w:rPr>
          <w:i/>
        </w:rPr>
        <w:t>er-</w:t>
      </w:r>
      <w:r>
        <w:rPr>
          <w:i/>
        </w:rPr>
        <w:t>P</w:t>
      </w:r>
      <w:r w:rsidRPr="00D17F4F">
        <w:rPr>
          <w:i/>
        </w:rPr>
        <w:t xml:space="preserve">upil </w:t>
      </w:r>
      <w:r>
        <w:rPr>
          <w:i/>
        </w:rPr>
        <w:t>F</w:t>
      </w:r>
      <w:r w:rsidRPr="00D17F4F">
        <w:rPr>
          <w:i/>
        </w:rPr>
        <w:t xml:space="preserve">unding and </w:t>
      </w:r>
      <w:r>
        <w:rPr>
          <w:i/>
        </w:rPr>
        <w:t>Academic Performance</w:t>
      </w:r>
      <w:r w:rsidRPr="00D17F4F">
        <w:rPr>
          <w:i/>
        </w:rPr>
        <w:t xml:space="preserve"> </w:t>
      </w:r>
    </w:p>
    <w:p w14:paraId="2A946CFA" w14:textId="68B84ECB" w:rsidR="00822CEC" w:rsidRDefault="00822CEC" w:rsidP="00D17F4F">
      <w:pPr>
        <w:spacing w:after="0" w:line="240" w:lineRule="auto"/>
      </w:pPr>
      <w:r>
        <w:t xml:space="preserve">Our first research question aims to understand the relationship between per-pupil funding and proficiency rates. </w:t>
      </w:r>
      <w:r w:rsidR="00E22258">
        <w:t>As we can see from the estimates of the coefficients below, under models 1 and 3, a 10 percent decrease in per-pupil funding would be associated with a decrease in proficiency rates of between 7.6 and 9.6 percent. However, we see this result flipped in the fixed-effects model 4, in which a 10% increase in per-pu</w:t>
      </w:r>
      <w:r w:rsidR="006D2552">
        <w:t xml:space="preserve">pil expenditures is associated with a 37 percent increase </w:t>
      </w:r>
      <w:r w:rsidR="00E34CBC">
        <w:t>in proficiency rates.</w:t>
      </w:r>
    </w:p>
    <w:p w14:paraId="5FF0C4AF" w14:textId="46C722FF" w:rsidR="00822CEC" w:rsidRDefault="00822CEC" w:rsidP="00D17F4F">
      <w:pPr>
        <w:spacing w:after="0" w:line="240" w:lineRule="auto"/>
      </w:pPr>
    </w:p>
    <w:p w14:paraId="320D77CB" w14:textId="77777777" w:rsidR="00822CEC" w:rsidRDefault="00822CEC" w:rsidP="00822CEC">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w:t>
      </w:r>
    </w:p>
    <w:p w14:paraId="49B964F0" w14:textId="7BE4C4ED" w:rsidR="00822CEC" w:rsidRDefault="00822CEC" w:rsidP="00822CEC">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w:t>
      </w:r>
      <w:r w:rsidR="00FC22F2">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t value </w:t>
      </w:r>
      <w:r>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Pr(&gt;|t|)    </w:t>
      </w:r>
    </w:p>
    <w:p w14:paraId="536C3400" w14:textId="65354648" w:rsidR="00822CEC" w:rsidRDefault="00822CEC" w:rsidP="00822CEC">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 xml:space="preserve">per_pupil_funding </w:t>
      </w:r>
      <w:r w:rsidR="00126E76">
        <w:rPr>
          <w:rStyle w:val="gnkrckgcgsb"/>
          <w:rFonts w:ascii="Lucida Console" w:hAnsi="Lucida Console"/>
          <w:color w:val="FFFFFF"/>
          <w:bdr w:val="none" w:sz="0" w:space="0" w:color="auto" w:frame="1"/>
        </w:rPr>
        <w:t>(1)</w:t>
      </w:r>
      <w:r>
        <w:rPr>
          <w:rStyle w:val="gnkrckgcgsb"/>
          <w:rFonts w:ascii="Lucida Console" w:hAnsi="Lucida Console"/>
          <w:color w:val="FFFFFF"/>
          <w:bdr w:val="none" w:sz="0" w:space="0" w:color="auto" w:frame="1"/>
        </w:rPr>
        <w:t xml:space="preserve">  -0.76469    0.15443  -4.952 </w:t>
      </w:r>
      <w:r>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9.91e-07 ***</w:t>
      </w:r>
    </w:p>
    <w:p w14:paraId="2A4BE151" w14:textId="75647C77" w:rsidR="00822CEC" w:rsidRDefault="00126E76" w:rsidP="00822CEC">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per_pupil_funding (2)</w:t>
      </w:r>
      <w:r w:rsidR="00822CEC">
        <w:rPr>
          <w:rStyle w:val="gnkrckgcgsb"/>
          <w:rFonts w:ascii="Lucida Console" w:hAnsi="Lucida Console"/>
          <w:color w:val="FFFFFF"/>
          <w:bdr w:val="none" w:sz="0" w:space="0" w:color="auto" w:frame="1"/>
        </w:rPr>
        <w:t xml:space="preserve">  </w:t>
      </w:r>
      <w:r w:rsidR="00822CEC">
        <w:rPr>
          <w:rStyle w:val="gnkrckgcgsb"/>
          <w:rFonts w:ascii="Lucida Console" w:hAnsi="Lucida Console"/>
          <w:color w:val="FFFFFF"/>
          <w:bdr w:val="none" w:sz="0" w:space="0" w:color="auto" w:frame="1"/>
        </w:rPr>
        <w:t xml:space="preserve"> </w:t>
      </w:r>
      <w:r w:rsidR="00822CEC">
        <w:rPr>
          <w:rStyle w:val="gnkrckgcgsb"/>
          <w:rFonts w:ascii="Lucida Console" w:hAnsi="Lucida Console"/>
          <w:color w:val="FFFFFF"/>
          <w:bdr w:val="none" w:sz="0" w:space="0" w:color="auto" w:frame="1"/>
        </w:rPr>
        <w:t xml:space="preserve">0.8296     0.7699   </w:t>
      </w:r>
      <w:r w:rsidR="00822CEC">
        <w:rPr>
          <w:rStyle w:val="gnkrckgcgsb"/>
          <w:rFonts w:ascii="Lucida Console" w:hAnsi="Lucida Console"/>
          <w:color w:val="FFFFFF"/>
          <w:bdr w:val="none" w:sz="0" w:space="0" w:color="auto" w:frame="1"/>
        </w:rPr>
        <w:t xml:space="preserve"> </w:t>
      </w:r>
      <w:r w:rsidR="00822CEC">
        <w:rPr>
          <w:rStyle w:val="gnkrckgcgsb"/>
          <w:rFonts w:ascii="Lucida Console" w:hAnsi="Lucida Console"/>
          <w:color w:val="FFFFFF"/>
          <w:bdr w:val="none" w:sz="0" w:space="0" w:color="auto" w:frame="1"/>
        </w:rPr>
        <w:t xml:space="preserve">1.078 </w:t>
      </w:r>
      <w:r w:rsidR="00822CEC">
        <w:rPr>
          <w:rStyle w:val="gnkrckgcgsb"/>
          <w:rFonts w:ascii="Lucida Console" w:hAnsi="Lucida Console"/>
          <w:color w:val="FFFFFF"/>
          <w:bdr w:val="none" w:sz="0" w:space="0" w:color="auto" w:frame="1"/>
        </w:rPr>
        <w:t xml:space="preserve">  </w:t>
      </w:r>
      <w:r w:rsidR="00822CEC">
        <w:rPr>
          <w:rStyle w:val="gnkrckgcgsb"/>
          <w:rFonts w:ascii="Lucida Console" w:hAnsi="Lucida Console"/>
          <w:color w:val="FFFFFF"/>
          <w:bdr w:val="none" w:sz="0" w:space="0" w:color="auto" w:frame="1"/>
        </w:rPr>
        <w:t xml:space="preserve">0.281709    </w:t>
      </w:r>
    </w:p>
    <w:p w14:paraId="58394550" w14:textId="3C0B00FF" w:rsidR="00822CEC" w:rsidRDefault="00822CEC" w:rsidP="00822CEC">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per_pupil_funding </w:t>
      </w:r>
      <w:r w:rsidR="00126E76">
        <w:rPr>
          <w:rStyle w:val="gnkrckgcgsb"/>
          <w:rFonts w:ascii="Lucida Console" w:hAnsi="Lucida Console"/>
          <w:color w:val="FFFFFF"/>
          <w:bdr w:val="none" w:sz="0" w:space="0" w:color="auto" w:frame="1"/>
        </w:rPr>
        <w:t>(3)</w:t>
      </w:r>
      <w:r>
        <w:rPr>
          <w:rStyle w:val="gnkrckgcgsb"/>
          <w:rFonts w:ascii="Lucida Console" w:hAnsi="Lucida Console"/>
          <w:color w:val="FFFFFF"/>
          <w:bdr w:val="none" w:sz="0" w:space="0" w:color="auto" w:frame="1"/>
        </w:rPr>
        <w:t xml:space="preserve">  -0.965893  </w:t>
      </w:r>
      <w:r>
        <w:rPr>
          <w:rStyle w:val="gnkrckgcgsb"/>
          <w:rFonts w:ascii="Lucida Console" w:hAnsi="Lucida Console"/>
          <w:color w:val="FFFFFF"/>
          <w:bdr w:val="none" w:sz="0" w:space="0" w:color="auto" w:frame="1"/>
        </w:rPr>
        <w:t xml:space="preserve"> 0.317513 -3.0421  0.002507 ** </w:t>
      </w:r>
    </w:p>
    <w:p w14:paraId="17105783" w14:textId="7DB27C55" w:rsidR="00822CEC" w:rsidRDefault="00822CEC" w:rsidP="00822CEC">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per_pupil_funding </w:t>
      </w:r>
      <w:r w:rsidR="00126E76">
        <w:rPr>
          <w:rStyle w:val="gnkrckgcgsb"/>
          <w:rFonts w:ascii="Lucida Console" w:hAnsi="Lucida Console"/>
          <w:color w:val="FFFFFF"/>
          <w:bdr w:val="none" w:sz="0" w:space="0" w:color="auto" w:frame="1"/>
        </w:rPr>
        <w:t>(4)</w:t>
      </w:r>
      <w:r>
        <w:rPr>
          <w:rStyle w:val="gnkrckgcgsb"/>
          <w:rFonts w:ascii="Lucida Console" w:hAnsi="Lucida Console"/>
          <w:color w:val="FFFFFF"/>
          <w:bdr w:val="none" w:sz="0" w:space="0" w:color="auto" w:frame="1"/>
        </w:rPr>
        <w:t xml:space="preserve">   3.69472    1.83602  </w:t>
      </w:r>
      <w:r>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2.0124  0.04486 *</w:t>
      </w:r>
    </w:p>
    <w:p w14:paraId="1AC6A6AB" w14:textId="7754279F" w:rsidR="00822CEC" w:rsidRDefault="00822CEC" w:rsidP="00D17F4F">
      <w:pPr>
        <w:spacing w:after="0" w:line="240" w:lineRule="auto"/>
      </w:pPr>
    </w:p>
    <w:p w14:paraId="7280ECE7" w14:textId="798FE9B5" w:rsidR="00E22258" w:rsidRDefault="00E22258" w:rsidP="00D17F4F">
      <w:pPr>
        <w:spacing w:after="0" w:line="240" w:lineRule="auto"/>
      </w:pPr>
      <w:r>
        <w:t>This is a counterintuitive conclusion. One would assume that spending more</w:t>
      </w:r>
      <w:r w:rsidR="001559BE">
        <w:t xml:space="preserve"> money</w:t>
      </w:r>
      <w:r>
        <w:t xml:space="preserve"> per student would lead to an increase in performance. </w:t>
      </w:r>
      <w:r w:rsidR="00727A41">
        <w:t xml:space="preserve">However, it could also be the case that lower operating costs </w:t>
      </w:r>
      <w:r w:rsidR="00355135">
        <w:t xml:space="preserve">simply </w:t>
      </w:r>
      <w:r w:rsidR="00727A41">
        <w:t xml:space="preserve">reflect better economies of scale, rather than better service delivery. </w:t>
      </w:r>
    </w:p>
    <w:p w14:paraId="046BA84D" w14:textId="3124357D" w:rsidR="0040538D" w:rsidRDefault="0040538D" w:rsidP="00D17F4F">
      <w:pPr>
        <w:spacing w:after="0" w:line="240" w:lineRule="auto"/>
      </w:pPr>
    </w:p>
    <w:p w14:paraId="5524D9FF" w14:textId="5FA91873" w:rsidR="0040538D" w:rsidRDefault="0040538D" w:rsidP="00D17F4F">
      <w:pPr>
        <w:spacing w:after="0" w:line="240" w:lineRule="auto"/>
      </w:pPr>
      <w:r>
        <w:rPr>
          <w:noProof/>
        </w:rPr>
        <w:lastRenderedPageBreak/>
        <w:drawing>
          <wp:inline distT="0" distB="0" distL="0" distR="0" wp14:anchorId="751BE704" wp14:editId="5596DCF0">
            <wp:extent cx="5943612" cy="36576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f_per_pup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0498A49A" w14:textId="77777777" w:rsidR="0040538D" w:rsidRPr="00822CEC" w:rsidRDefault="0040538D" w:rsidP="00D17F4F">
      <w:pPr>
        <w:spacing w:after="0" w:line="240" w:lineRule="auto"/>
      </w:pPr>
    </w:p>
    <w:p w14:paraId="16063132" w14:textId="4F540D38" w:rsidR="00442BCB" w:rsidRDefault="00442BCB" w:rsidP="00D17F4F">
      <w:pPr>
        <w:spacing w:after="0" w:line="240" w:lineRule="auto"/>
        <w:rPr>
          <w:i/>
        </w:rPr>
      </w:pPr>
      <w:r>
        <w:rPr>
          <w:i/>
        </w:rPr>
        <w:t xml:space="preserve">Student Demographics, District Size, and </w:t>
      </w:r>
      <w:r w:rsidR="0040538D">
        <w:rPr>
          <w:i/>
        </w:rPr>
        <w:t>Academic Performance</w:t>
      </w:r>
    </w:p>
    <w:p w14:paraId="668BFD40" w14:textId="3315E8A4" w:rsidR="00F509FA" w:rsidRDefault="00E86044" w:rsidP="00D17F4F">
      <w:pPr>
        <w:spacing w:after="0" w:line="240" w:lineRule="auto"/>
      </w:pPr>
      <w:r>
        <w:t xml:space="preserve">Average daily </w:t>
      </w:r>
      <w:r w:rsidR="007F62F2">
        <w:t>membership, as a proxy for the size of a school district, also appears to be associated with improvements in academic performance. Based on the different models we ran, we saw observed that a 10 percent increase in district average daily membership corresponds to between 2 percent and 11 percent increase in proficiency rates. However, the fourth model we ran</w:t>
      </w:r>
      <w:r w:rsidR="00990809">
        <w:t xml:space="preserve"> indicated that a 10 percent increase in average daily membership was associated with a 49 percent decrease in proficiency rates. </w:t>
      </w:r>
    </w:p>
    <w:p w14:paraId="68FF9487" w14:textId="77777777" w:rsidR="00995174" w:rsidRDefault="00995174" w:rsidP="00D17F4F">
      <w:pPr>
        <w:spacing w:after="0" w:line="240" w:lineRule="auto"/>
      </w:pPr>
    </w:p>
    <w:p w14:paraId="32C51B8D" w14:textId="77777777" w:rsidR="007B4D86" w:rsidRPr="00A81883" w:rsidRDefault="007B4D86" w:rsidP="007B4D8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Coefficients:</w:t>
      </w:r>
    </w:p>
    <w:p w14:paraId="4EBECF4E" w14:textId="448C2FDF" w:rsidR="007B4D86" w:rsidRPr="00A81883" w:rsidRDefault="007B4D86" w:rsidP="007B4D8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 xml:space="preserve">                       Estimate Std. Error t value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Pr(&gt;|t|)    </w:t>
      </w:r>
    </w:p>
    <w:p w14:paraId="3DFFF7C8" w14:textId="064072B6" w:rsidR="007B4D86" w:rsidRPr="00A81883" w:rsidRDefault="007B4D86" w:rsidP="007B4D8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 xml:space="preserve">adm </w:t>
      </w:r>
      <w:r w:rsidR="00B812DA">
        <w:rPr>
          <w:rFonts w:ascii="Lucida Console" w:eastAsia="Times New Roman" w:hAnsi="Lucida Console" w:cs="Courier New"/>
          <w:color w:val="FFFFFF"/>
          <w:sz w:val="20"/>
          <w:szCs w:val="20"/>
          <w:bdr w:val="none" w:sz="0" w:space="0" w:color="auto" w:frame="1"/>
        </w:rPr>
        <w:t>(1)</w:t>
      </w:r>
      <w:r w:rsidRPr="00A81883">
        <w:rPr>
          <w:rFonts w:ascii="Lucida Console" w:eastAsia="Times New Roman" w:hAnsi="Lucida Console" w:cs="Courier New"/>
          <w:color w:val="FFFFFF"/>
          <w:sz w:val="20"/>
          <w:szCs w:val="20"/>
          <w:bdr w:val="none" w:sz="0" w:space="0" w:color="auto" w:frame="1"/>
        </w:rPr>
        <w:t xml:space="preserve">                 0.23332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0.06761   3.451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0.000603 ***</w:t>
      </w:r>
    </w:p>
    <w:p w14:paraId="6E95AB65" w14:textId="404C0DD9" w:rsidR="007B4D86" w:rsidRDefault="007B4D86" w:rsidP="007B4D8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adm </w:t>
      </w:r>
      <w:r w:rsidR="00B812DA">
        <w:rPr>
          <w:rStyle w:val="gnkrckgcgsb"/>
          <w:rFonts w:ascii="Lucida Console" w:hAnsi="Lucida Console"/>
          <w:color w:val="FFFFFF"/>
          <w:bdr w:val="none" w:sz="0" w:space="0" w:color="auto" w:frame="1"/>
        </w:rPr>
        <w:t>(2)</w:t>
      </w:r>
      <w:r>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1.1168 </w:t>
      </w:r>
      <w:r>
        <w:rPr>
          <w:rStyle w:val="gnkrckgcgsb"/>
          <w:rFonts w:ascii="Lucida Console" w:hAnsi="Lucida Console"/>
          <w:color w:val="FFFFFF"/>
          <w:bdr w:val="none" w:sz="0" w:space="0" w:color="auto" w:frame="1"/>
        </w:rPr>
        <w:t xml:space="preserve">     0.3370    3.314   0.000984 ***</w:t>
      </w:r>
    </w:p>
    <w:p w14:paraId="4E3AF956" w14:textId="52F213C1" w:rsidR="007B4D86" w:rsidRDefault="007B4D86" w:rsidP="007B4D8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adm </w:t>
      </w:r>
      <w:r w:rsidR="00B812DA">
        <w:rPr>
          <w:rStyle w:val="gnkrckgcgsb"/>
          <w:rFonts w:ascii="Lucida Console" w:hAnsi="Lucida Console"/>
          <w:color w:val="FFFFFF"/>
          <w:bdr w:val="none" w:sz="0" w:space="0" w:color="auto" w:frame="1"/>
        </w:rPr>
        <w:t>(3)</w:t>
      </w:r>
      <w:r>
        <w:rPr>
          <w:rStyle w:val="gnkrckgcgsb"/>
          <w:rFonts w:ascii="Lucida Console" w:hAnsi="Lucida Console"/>
          <w:color w:val="FFFFFF"/>
          <w:bdr w:val="none" w:sz="0" w:space="0" w:color="auto" w:frame="1"/>
        </w:rPr>
        <w:t xml:space="preserve">                 0.521712  </w:t>
      </w:r>
      <w:r>
        <w:rPr>
          <w:rStyle w:val="gnkrckgcgsb"/>
          <w:rFonts w:ascii="Lucida Console" w:hAnsi="Lucida Console"/>
          <w:color w:val="FFFFFF"/>
          <w:bdr w:val="none" w:sz="0" w:space="0" w:color="auto" w:frame="1"/>
        </w:rPr>
        <w:t xml:space="preserve">  0.402035  1.2977  0.195159    </w:t>
      </w:r>
    </w:p>
    <w:p w14:paraId="475E9997" w14:textId="1C448E60" w:rsidR="007B4D86" w:rsidRDefault="00B812DA" w:rsidP="007B4D8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adm (4)</w:t>
      </w:r>
      <w:r w:rsidR="007B4D86">
        <w:rPr>
          <w:rStyle w:val="gnkrckgcgsb"/>
          <w:rFonts w:ascii="Lucida Console" w:hAnsi="Lucida Console"/>
          <w:color w:val="FFFFFF"/>
          <w:bdr w:val="none" w:sz="0" w:space="0" w:color="auto" w:frame="1"/>
        </w:rPr>
        <w:t xml:space="preserve">                -4.92903    </w:t>
      </w:r>
      <w:r w:rsidR="007B4D86">
        <w:rPr>
          <w:rStyle w:val="gnkrckgcgsb"/>
          <w:rFonts w:ascii="Lucida Console" w:hAnsi="Lucida Console"/>
          <w:color w:val="FFFFFF"/>
          <w:bdr w:val="none" w:sz="0" w:space="0" w:color="auto" w:frame="1"/>
        </w:rPr>
        <w:t xml:space="preserve"> </w:t>
      </w:r>
      <w:r w:rsidR="007B4D86">
        <w:rPr>
          <w:rStyle w:val="gnkrckgcgsb"/>
          <w:rFonts w:ascii="Lucida Console" w:hAnsi="Lucida Console"/>
          <w:color w:val="FFFFFF"/>
          <w:bdr w:val="none" w:sz="0" w:space="0" w:color="auto" w:frame="1"/>
        </w:rPr>
        <w:t>2.32476</w:t>
      </w:r>
      <w:r w:rsidR="007B4D86">
        <w:rPr>
          <w:rStyle w:val="gnkrckgcgsb"/>
          <w:rFonts w:ascii="Lucida Console" w:hAnsi="Lucida Console"/>
          <w:color w:val="FFFFFF"/>
          <w:bdr w:val="none" w:sz="0" w:space="0" w:color="auto" w:frame="1"/>
        </w:rPr>
        <w:t xml:space="preserve"> </w:t>
      </w:r>
      <w:r w:rsidR="007B4D86">
        <w:rPr>
          <w:rStyle w:val="gnkrckgcgsb"/>
          <w:rFonts w:ascii="Lucida Console" w:hAnsi="Lucida Console"/>
          <w:color w:val="FFFFFF"/>
          <w:bdr w:val="none" w:sz="0" w:space="0" w:color="auto" w:frame="1"/>
        </w:rPr>
        <w:t xml:space="preserve"> -2.1202  0.03461 *</w:t>
      </w:r>
    </w:p>
    <w:p w14:paraId="1D5A7848" w14:textId="4A21D36E" w:rsidR="007B4D86" w:rsidRDefault="007B4D86" w:rsidP="00D17F4F">
      <w:pPr>
        <w:spacing w:after="0" w:line="240" w:lineRule="auto"/>
      </w:pPr>
    </w:p>
    <w:p w14:paraId="0EB90FFC" w14:textId="03061AB3" w:rsidR="004321BF" w:rsidRDefault="004321BF" w:rsidP="00D17F4F">
      <w:pPr>
        <w:spacing w:after="0" w:line="240" w:lineRule="auto"/>
      </w:pPr>
      <w:r>
        <w:t>Similarly, student demographics, specifically the relative proportion of students in poverty, has different effects on proficiency rates and academic improvement in the different models we used. For example, in the fixed-effects models, the effect</w:t>
      </w:r>
      <w:r w:rsidR="00FF70F1">
        <w:t>s</w:t>
      </w:r>
      <w:r>
        <w:t xml:space="preserve"> of levels of student poverty </w:t>
      </w:r>
      <w:r w:rsidR="00FF70F1">
        <w:t xml:space="preserve">appear only to be marginally significant and to suggest a negative relationship such that increases in economic disadvantage are associated with lower levels of proficiency. However, the two OLS models </w:t>
      </w:r>
      <w:r w:rsidR="00477012">
        <w:t>suggest that a 10 percent increase in the percent of students who are economically disadvantaged increases proficiency rates by 1-3 percent. This again seems counterintuitive.</w:t>
      </w:r>
    </w:p>
    <w:p w14:paraId="5C1346D7" w14:textId="77777777" w:rsidR="004321BF" w:rsidRDefault="004321BF" w:rsidP="00D17F4F">
      <w:pPr>
        <w:spacing w:after="0" w:line="240" w:lineRule="auto"/>
      </w:pPr>
    </w:p>
    <w:p w14:paraId="2A44F60B" w14:textId="77777777" w:rsidR="004321BF" w:rsidRPr="00A81883" w:rsidRDefault="004321BF" w:rsidP="004321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Coefficients:</w:t>
      </w:r>
    </w:p>
    <w:p w14:paraId="329FDCCA" w14:textId="77777777" w:rsidR="004321BF" w:rsidRPr="00A81883" w:rsidRDefault="004321BF" w:rsidP="004321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 xml:space="preserve">                       Estimate</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 Std. Error t value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Pr(&gt;|t|)    </w:t>
      </w:r>
    </w:p>
    <w:p w14:paraId="39E5EE3A" w14:textId="77777777" w:rsidR="004321BF" w:rsidRPr="00990809" w:rsidRDefault="004321BF" w:rsidP="004321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nkrckgcgsb"/>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 xml:space="preserve">pct_ed </w:t>
      </w:r>
      <w:r>
        <w:rPr>
          <w:rFonts w:ascii="Lucida Console" w:eastAsia="Times New Roman" w:hAnsi="Lucida Console" w:cs="Courier New"/>
          <w:color w:val="FFFFFF"/>
          <w:sz w:val="20"/>
          <w:szCs w:val="20"/>
          <w:bdr w:val="none" w:sz="0" w:space="0" w:color="auto" w:frame="1"/>
        </w:rPr>
        <w:t>(1)</w:t>
      </w:r>
      <w:r w:rsidRPr="00A81883">
        <w:rPr>
          <w:rFonts w:ascii="Lucida Console" w:eastAsia="Times New Roman" w:hAnsi="Lucida Console" w:cs="Courier New"/>
          <w:color w:val="FFFFFF"/>
          <w:sz w:val="20"/>
          <w:szCs w:val="20"/>
          <w:bdr w:val="none" w:sz="0" w:space="0" w:color="auto" w:frame="1"/>
        </w:rPr>
        <w:t xml:space="preserve">              0.10238    0.02347   4.361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1.55e-05 ***</w:t>
      </w:r>
    </w:p>
    <w:p w14:paraId="44F0ED6E" w14:textId="77777777" w:rsidR="004321BF" w:rsidRDefault="004321BF" w:rsidP="004321BF">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pct_ed (2)             -0.2085     0.1170   -1.782   0.075376 .  </w:t>
      </w:r>
    </w:p>
    <w:p w14:paraId="69D15DF0" w14:textId="77777777" w:rsidR="004321BF" w:rsidRPr="00990809" w:rsidRDefault="004321BF" w:rsidP="004321BF">
      <w:pPr>
        <w:pStyle w:val="HTMLPreformatted"/>
        <w:shd w:val="clear" w:color="auto" w:fill="002240"/>
        <w:wordWrap w:val="0"/>
        <w:spacing w:line="225" w:lineRule="atLeast"/>
        <w:rPr>
          <w:rFonts w:ascii="Lucida Console" w:hAnsi="Lucida Console"/>
          <w:color w:val="FFFFFF"/>
          <w:bdr w:val="none" w:sz="0" w:space="0" w:color="auto" w:frame="1"/>
        </w:rPr>
      </w:pPr>
      <w:r>
        <w:rPr>
          <w:rStyle w:val="gnkrckgcgsb"/>
          <w:rFonts w:ascii="Lucida Console" w:hAnsi="Lucida Console"/>
          <w:color w:val="FFFFFF"/>
          <w:bdr w:val="none" w:sz="0" w:space="0" w:color="auto" w:frame="1"/>
        </w:rPr>
        <w:lastRenderedPageBreak/>
        <w:t>pct_ed (3)              0.231205   0.024215  9.5479  &lt; 2.2e-16 ***</w:t>
      </w:r>
    </w:p>
    <w:p w14:paraId="200DBD3F" w14:textId="77777777" w:rsidR="004321BF" w:rsidRDefault="004321BF" w:rsidP="004321BF">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pct_ed (4)             -0.26426    0.14002  -1.8872  0.05986 .</w:t>
      </w:r>
    </w:p>
    <w:p w14:paraId="33504A73" w14:textId="77777777" w:rsidR="004321BF" w:rsidRDefault="004321BF" w:rsidP="00D17F4F">
      <w:pPr>
        <w:spacing w:after="0" w:line="240" w:lineRule="auto"/>
      </w:pPr>
    </w:p>
    <w:p w14:paraId="24595747" w14:textId="0C4A2A5F" w:rsidR="004321BF" w:rsidRDefault="00F509FA" w:rsidP="00D17F4F">
      <w:pPr>
        <w:spacing w:after="0" w:line="240" w:lineRule="auto"/>
      </w:pPr>
      <w:r>
        <w:rPr>
          <w:noProof/>
        </w:rPr>
        <w:drawing>
          <wp:inline distT="0" distB="0" distL="0" distR="0" wp14:anchorId="6FC37AEF" wp14:editId="5328AC2F">
            <wp:extent cx="5943612" cy="36576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f_ad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3CF7D17D" w14:textId="685145A3" w:rsidR="00F509FA" w:rsidRPr="007C4609" w:rsidRDefault="00F509FA" w:rsidP="00D17F4F">
      <w:pPr>
        <w:spacing w:after="0" w:line="240" w:lineRule="auto"/>
      </w:pPr>
      <w:r>
        <w:rPr>
          <w:noProof/>
        </w:rPr>
        <w:drawing>
          <wp:inline distT="0" distB="0" distL="0" distR="0" wp14:anchorId="10E9616C" wp14:editId="33E0BA33">
            <wp:extent cx="5943612" cy="36576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f_pct_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06568974" w14:textId="5A625659" w:rsidR="00FC352A" w:rsidRDefault="00FC352A" w:rsidP="00D17F4F">
      <w:pPr>
        <w:spacing w:after="0" w:line="240" w:lineRule="auto"/>
        <w:rPr>
          <w:i/>
        </w:rPr>
      </w:pPr>
    </w:p>
    <w:p w14:paraId="099774EB" w14:textId="77777777" w:rsidR="00F509FA" w:rsidRDefault="00F509FA" w:rsidP="00D17F4F">
      <w:pPr>
        <w:spacing w:after="0" w:line="240" w:lineRule="auto"/>
        <w:rPr>
          <w:i/>
        </w:rPr>
      </w:pPr>
    </w:p>
    <w:p w14:paraId="1790C0D3" w14:textId="17FA0BFC" w:rsidR="00442BCB" w:rsidRPr="00442BCB" w:rsidRDefault="00442BCB" w:rsidP="00D17F4F">
      <w:pPr>
        <w:spacing w:after="0" w:line="240" w:lineRule="auto"/>
        <w:rPr>
          <w:i/>
        </w:rPr>
      </w:pPr>
      <w:r>
        <w:rPr>
          <w:i/>
        </w:rPr>
        <w:t>County-Level Factors</w:t>
      </w:r>
    </w:p>
    <w:p w14:paraId="67739FC7" w14:textId="38BE3C89" w:rsidR="00D17F4F" w:rsidRDefault="00A40A0F" w:rsidP="00D17F4F">
      <w:pPr>
        <w:spacing w:after="0" w:line="240" w:lineRule="auto"/>
      </w:pPr>
      <w:r>
        <w:t xml:space="preserve">Interestingly, across all four models, county-level factors such as crime rates and </w:t>
      </w:r>
      <w:r w:rsidR="00E46217">
        <w:t xml:space="preserve">median home prices appeared not to have a significant influence either on proficiency rates or academic improvement. </w:t>
      </w:r>
      <w:r w:rsidR="00580024">
        <w:t xml:space="preserve">As the table below illustrates, only the fixed-effects </w:t>
      </w:r>
      <w:r w:rsidR="00193F81">
        <w:t xml:space="preserve">model in which proficiency rates served as the outcome variable resulted in a significant coefficient. Given the lack of significant t-values in other models, it is tempting to conclude that this significant coefficient estimate is a statistical outlier. </w:t>
      </w:r>
      <w:r w:rsidR="00E46217">
        <w:t xml:space="preserve">This </w:t>
      </w:r>
      <w:r w:rsidR="00351621">
        <w:t xml:space="preserve">broad lack of significant results </w:t>
      </w:r>
      <w:r w:rsidR="00E46217">
        <w:t xml:space="preserve">suggests that </w:t>
      </w:r>
      <w:r w:rsidR="009F1296">
        <w:t xml:space="preserve">county officials hoping to improve education in their county should more on reducing poverty than on catching and prosecuting criminals if they hope to improve educational outcomes and </w:t>
      </w:r>
      <w:r w:rsidR="009C7373">
        <w:t xml:space="preserve">improve the attractiveness of their business climate. </w:t>
      </w:r>
    </w:p>
    <w:p w14:paraId="1EF15E3C" w14:textId="77777777" w:rsidR="00E46217" w:rsidRDefault="00E46217" w:rsidP="00D17F4F">
      <w:pPr>
        <w:spacing w:after="0" w:line="240" w:lineRule="auto"/>
      </w:pPr>
    </w:p>
    <w:p w14:paraId="7849A670" w14:textId="77777777" w:rsidR="00440708" w:rsidRDefault="00440708" w:rsidP="0044070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w:t>
      </w:r>
    </w:p>
    <w:p w14:paraId="3C830E20" w14:textId="0B463E73" w:rsidR="00440708" w:rsidRDefault="00440708" w:rsidP="0044070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w:t>
      </w:r>
      <w:r w:rsidR="00746FA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Std.</w:t>
      </w:r>
      <w:r w:rsidR="00746FA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Error t-value </w:t>
      </w:r>
      <w:r w:rsidR="00746FA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Pr(&gt;|t|)  </w:t>
      </w:r>
    </w:p>
    <w:p w14:paraId="42DCD5B6" w14:textId="60F2328A" w:rsidR="00746FA4" w:rsidRPr="00A81883" w:rsidRDefault="00746FA4" w:rsidP="00746F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Pr>
          <w:rFonts w:ascii="Lucida Console" w:eastAsia="Times New Roman" w:hAnsi="Lucida Console" w:cs="Courier New"/>
          <w:color w:val="FFFFFF"/>
          <w:sz w:val="20"/>
          <w:szCs w:val="20"/>
          <w:bdr w:val="none" w:sz="0" w:space="0" w:color="auto" w:frame="1"/>
        </w:rPr>
        <w:t xml:space="preserve">crime_rate (1) </w:t>
      </w:r>
      <w:r w:rsidRPr="00A81883">
        <w:rPr>
          <w:rFonts w:ascii="Lucida Console" w:eastAsia="Times New Roman" w:hAnsi="Lucida Console" w:cs="Courier New"/>
          <w:color w:val="FFFFFF"/>
          <w:sz w:val="20"/>
          <w:szCs w:val="20"/>
          <w:bdr w:val="none" w:sz="0" w:space="0" w:color="auto" w:frame="1"/>
        </w:rPr>
        <w:t xml:space="preserve">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-0.07285    0.04574  -1.593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0.111798    </w:t>
      </w:r>
    </w:p>
    <w:p w14:paraId="30047C33" w14:textId="2D1B5C82" w:rsidR="00746FA4" w:rsidRDefault="00746FA4" w:rsidP="00746FA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crime_rate (2)   </w:t>
      </w:r>
      <w:r>
        <w:rPr>
          <w:rStyle w:val="gnkrckgcgsb"/>
          <w:rFonts w:ascii="Lucida Console" w:hAnsi="Lucida Console"/>
          <w:color w:val="FFFFFF"/>
          <w:bdr w:val="none" w:sz="0" w:space="0" w:color="auto" w:frame="1"/>
        </w:rPr>
        <w:t xml:space="preserve">          -0.3592     0.2280  </w:t>
      </w:r>
      <w:r>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-1.575 </w:t>
      </w:r>
      <w:r>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0.115747    </w:t>
      </w:r>
    </w:p>
    <w:p w14:paraId="53068829" w14:textId="5A28E38A" w:rsidR="00746FA4" w:rsidRDefault="00746FA4" w:rsidP="00746FA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crime_rate </w:t>
      </w:r>
      <w:r>
        <w:rPr>
          <w:rStyle w:val="gnkrckgcgsb"/>
          <w:rFonts w:ascii="Lucida Console" w:hAnsi="Lucida Console"/>
          <w:color w:val="FFFFFF"/>
          <w:bdr w:val="none" w:sz="0" w:space="0" w:color="auto" w:frame="1"/>
        </w:rPr>
        <w:t>(3)</w:t>
      </w:r>
      <w:r>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 0.188341   0.134745  1.3978  0.162975    </w:t>
      </w:r>
    </w:p>
    <w:p w14:paraId="7BFE3853" w14:textId="52B24E44" w:rsidR="00440708" w:rsidRDefault="00440708" w:rsidP="0044070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crime_rate</w:t>
      </w:r>
      <w:r w:rsidR="00746FA4">
        <w:rPr>
          <w:rStyle w:val="gnkrckgcgsb"/>
          <w:rFonts w:ascii="Lucida Console" w:hAnsi="Lucida Console"/>
          <w:color w:val="FFFFFF"/>
          <w:bdr w:val="none" w:sz="0" w:space="0" w:color="auto" w:frame="1"/>
        </w:rPr>
        <w:t xml:space="preserve"> (4)</w:t>
      </w:r>
      <w:r>
        <w:rPr>
          <w:rStyle w:val="gnkrckgcgsb"/>
          <w:rFonts w:ascii="Lucida Console" w:hAnsi="Lucida Console"/>
          <w:color w:val="FFFFFF"/>
          <w:bdr w:val="none" w:sz="0" w:space="0" w:color="auto" w:frame="1"/>
        </w:rPr>
        <w:t xml:space="preserve">            </w:t>
      </w:r>
      <w:r w:rsidR="00746FA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-0.35371    0.77916 </w:t>
      </w:r>
      <w:r w:rsidR="00746FA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-0.4540  0.65011  </w:t>
      </w:r>
    </w:p>
    <w:p w14:paraId="149F38FC" w14:textId="01105AAA" w:rsidR="00746FA4" w:rsidRPr="00746FA4" w:rsidRDefault="00746FA4" w:rsidP="00746F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nkrckgcgsb"/>
          <w:rFonts w:ascii="Lucida Console" w:eastAsia="Times New Roman" w:hAnsi="Lucida Console" w:cs="Courier New"/>
          <w:color w:val="FFFFFF"/>
          <w:sz w:val="20"/>
          <w:szCs w:val="20"/>
          <w:bdr w:val="none" w:sz="0" w:space="0" w:color="auto" w:frame="1"/>
        </w:rPr>
      </w:pPr>
      <w:r w:rsidRPr="00A81883">
        <w:rPr>
          <w:rFonts w:ascii="Lucida Console" w:eastAsia="Times New Roman" w:hAnsi="Lucida Console" w:cs="Courier New"/>
          <w:color w:val="FFFFFF"/>
          <w:sz w:val="20"/>
          <w:szCs w:val="20"/>
          <w:bdr w:val="none" w:sz="0" w:space="0" w:color="auto" w:frame="1"/>
        </w:rPr>
        <w:t xml:space="preserve">median_home_sale_price </w:t>
      </w:r>
      <w:r>
        <w:rPr>
          <w:rFonts w:ascii="Lucida Console" w:eastAsia="Times New Roman" w:hAnsi="Lucida Console" w:cs="Courier New"/>
          <w:color w:val="FFFFFF"/>
          <w:sz w:val="20"/>
          <w:szCs w:val="20"/>
          <w:bdr w:val="none" w:sz="0" w:space="0" w:color="auto" w:frame="1"/>
        </w:rPr>
        <w:t xml:space="preserve">(1) </w:t>
      </w:r>
      <w:r w:rsidRPr="00A81883">
        <w:rPr>
          <w:rFonts w:ascii="Lucida Console" w:eastAsia="Times New Roman" w:hAnsi="Lucida Console" w:cs="Courier New"/>
          <w:color w:val="FFFFFF"/>
          <w:sz w:val="20"/>
          <w:szCs w:val="20"/>
          <w:bdr w:val="none" w:sz="0" w:space="0" w:color="auto" w:frame="1"/>
        </w:rPr>
        <w:t xml:space="preserve"> 0.03368    0.06951   0.485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0.628187    </w:t>
      </w:r>
    </w:p>
    <w:p w14:paraId="4B1B49EC" w14:textId="334C370E" w:rsidR="00440708" w:rsidRDefault="00746FA4" w:rsidP="0044070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median_home_sale_price (2) </w:t>
      </w:r>
      <w:r>
        <w:rPr>
          <w:rStyle w:val="gnkrckgcgsb"/>
          <w:rFonts w:ascii="Lucida Console" w:hAnsi="Lucida Console"/>
          <w:color w:val="FFFFFF"/>
          <w:bdr w:val="none" w:sz="0" w:space="0" w:color="auto" w:frame="1"/>
        </w:rPr>
        <w:t xml:space="preserve">-0.4948 </w:t>
      </w:r>
      <w:r>
        <w:rPr>
          <w:rStyle w:val="gnkrckgcgsb"/>
          <w:rFonts w:ascii="Lucida Console" w:hAnsi="Lucida Console"/>
          <w:color w:val="FFFFFF"/>
          <w:bdr w:val="none" w:sz="0" w:space="0" w:color="auto" w:frame="1"/>
        </w:rPr>
        <w:t xml:space="preserve">    0.3465   -1.428   0.153875    </w:t>
      </w:r>
    </w:p>
    <w:p w14:paraId="365BF982" w14:textId="49427864" w:rsidR="00440708" w:rsidRDefault="00746FA4" w:rsidP="0044070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median_home_sale_price </w:t>
      </w:r>
      <w:r>
        <w:rPr>
          <w:rStyle w:val="gnkrckgcgsb"/>
          <w:rFonts w:ascii="Lucida Console" w:hAnsi="Lucida Console"/>
          <w:color w:val="FFFFFF"/>
          <w:bdr w:val="none" w:sz="0" w:space="0" w:color="auto" w:frame="1"/>
        </w:rPr>
        <w:t xml:space="preserve">(3) </w:t>
      </w:r>
      <w:r>
        <w:rPr>
          <w:rStyle w:val="gnkrckgcgsb"/>
          <w:rFonts w:ascii="Lucida Console" w:hAnsi="Lucida Console"/>
          <w:color w:val="FFFFFF"/>
          <w:bdr w:val="none" w:sz="0" w:space="0" w:color="auto" w:frame="1"/>
        </w:rPr>
        <w:t xml:space="preserve">-0.516573  </w:t>
      </w:r>
      <w:r>
        <w:rPr>
          <w:rStyle w:val="gnkrckgcgsb"/>
          <w:rFonts w:ascii="Lucida Console" w:hAnsi="Lucida Console"/>
          <w:color w:val="FFFFFF"/>
          <w:bdr w:val="none" w:sz="0" w:space="0" w:color="auto" w:frame="1"/>
        </w:rPr>
        <w:t xml:space="preserve"> 0.202843 -2.5467  0.011256 *  </w:t>
      </w:r>
    </w:p>
    <w:p w14:paraId="62C3C249" w14:textId="20FEECC4" w:rsidR="00440708" w:rsidRDefault="00440708" w:rsidP="0044070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median_home_sale_price </w:t>
      </w:r>
      <w:r w:rsidR="00746FA4">
        <w:rPr>
          <w:rStyle w:val="gnkrckgcgsb"/>
          <w:rFonts w:ascii="Lucida Console" w:hAnsi="Lucida Console"/>
          <w:color w:val="FFFFFF"/>
          <w:bdr w:val="none" w:sz="0" w:space="0" w:color="auto" w:frame="1"/>
        </w:rPr>
        <w:t xml:space="preserve">(4) </w:t>
      </w:r>
      <w:r>
        <w:rPr>
          <w:rStyle w:val="gnkrckgcgsb"/>
          <w:rFonts w:ascii="Lucida Console" w:hAnsi="Lucida Console"/>
          <w:color w:val="FFFFFF"/>
          <w:bdr w:val="none" w:sz="0" w:space="0" w:color="auto" w:frame="1"/>
        </w:rPr>
        <w:t xml:space="preserve">-1.25752    1.17294 </w:t>
      </w:r>
      <w:r w:rsidR="00746FA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-1.0721  0.28433  </w:t>
      </w:r>
    </w:p>
    <w:p w14:paraId="45D5DFB0" w14:textId="77777777" w:rsidR="00440708" w:rsidRDefault="00440708" w:rsidP="00D17F4F">
      <w:pPr>
        <w:spacing w:after="0" w:line="240" w:lineRule="auto"/>
      </w:pPr>
    </w:p>
    <w:p w14:paraId="7DA5C394" w14:textId="56F0F430" w:rsidR="00F509FA" w:rsidRDefault="00F70029" w:rsidP="00D17F4F">
      <w:pPr>
        <w:spacing w:after="0" w:line="240" w:lineRule="auto"/>
      </w:pPr>
      <w:r>
        <w:rPr>
          <w:noProof/>
        </w:rPr>
        <w:drawing>
          <wp:inline distT="0" distB="0" distL="0" distR="0" wp14:anchorId="58E37AAB" wp14:editId="72F90991">
            <wp:extent cx="5943612" cy="36576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f_home_pri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74D4C0A8" w14:textId="272CFA0E" w:rsidR="00F70029" w:rsidRDefault="00F70029" w:rsidP="00D17F4F">
      <w:pPr>
        <w:spacing w:after="0" w:line="240" w:lineRule="auto"/>
      </w:pPr>
      <w:r>
        <w:rPr>
          <w:noProof/>
        </w:rPr>
        <w:lastRenderedPageBreak/>
        <w:drawing>
          <wp:inline distT="0" distB="0" distL="0" distR="0" wp14:anchorId="0381A070" wp14:editId="2AFAB334">
            <wp:extent cx="5943612" cy="36576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f_cri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38ED538F" w14:textId="77777777" w:rsidR="00AD71EA" w:rsidRDefault="00AD71EA" w:rsidP="00AD71EA">
      <w:pPr>
        <w:spacing w:after="0" w:line="240" w:lineRule="auto"/>
        <w:ind w:left="360"/>
      </w:pPr>
    </w:p>
    <w:p w14:paraId="432BC42D" w14:textId="77777777" w:rsidR="001A559E" w:rsidRDefault="001A559E" w:rsidP="00253726">
      <w:pPr>
        <w:spacing w:after="0"/>
      </w:pPr>
    </w:p>
    <w:p w14:paraId="0111C0A7" w14:textId="2DB24D7E" w:rsidR="00265773" w:rsidRDefault="0022278E" w:rsidP="00253726">
      <w:pPr>
        <w:spacing w:after="0"/>
        <w:rPr>
          <w:b/>
        </w:rPr>
      </w:pPr>
      <w:r w:rsidRPr="0022278E">
        <w:rPr>
          <w:b/>
        </w:rPr>
        <w:t xml:space="preserve">Conclusions and </w:t>
      </w:r>
      <w:commentRangeStart w:id="1"/>
      <w:r w:rsidRPr="0022278E">
        <w:rPr>
          <w:b/>
        </w:rPr>
        <w:t>Limitations</w:t>
      </w:r>
      <w:commentRangeEnd w:id="1"/>
      <w:r w:rsidR="005D1338">
        <w:rPr>
          <w:rStyle w:val="CommentReference"/>
        </w:rPr>
        <w:commentReference w:id="1"/>
      </w:r>
      <w:r w:rsidRPr="0022278E">
        <w:rPr>
          <w:b/>
        </w:rPr>
        <w:t xml:space="preserve"> </w:t>
      </w:r>
    </w:p>
    <w:p w14:paraId="2C53B729" w14:textId="1DA2CD49" w:rsidR="00897938" w:rsidRDefault="00357DF0" w:rsidP="00897938">
      <w:pPr>
        <w:pStyle w:val="ListParagraph"/>
        <w:numPr>
          <w:ilvl w:val="0"/>
          <w:numId w:val="13"/>
        </w:numPr>
        <w:spacing w:after="0"/>
      </w:pPr>
      <w:r>
        <w:t>Spend money on poverty reduction rather than crime reduction</w:t>
      </w:r>
    </w:p>
    <w:p w14:paraId="1BA34103" w14:textId="4B2D1D35" w:rsidR="00E46217" w:rsidRPr="00897938" w:rsidRDefault="00357DF0" w:rsidP="00897938">
      <w:pPr>
        <w:pStyle w:val="ListParagraph"/>
        <w:numPr>
          <w:ilvl w:val="0"/>
          <w:numId w:val="13"/>
        </w:numPr>
        <w:spacing w:after="0"/>
      </w:pPr>
      <w:r>
        <w:t>More study needed to determine impact of average daily membership and per-pupil funding</w:t>
      </w:r>
      <w:r w:rsidR="007C70F6">
        <w:t>s</w:t>
      </w:r>
      <w:bookmarkStart w:id="2" w:name="_GoBack"/>
      <w:bookmarkEnd w:id="2"/>
    </w:p>
    <w:sectPr w:rsidR="00E46217" w:rsidRPr="00897938" w:rsidSect="0070234D">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van Kramer" w:date="2019-04-25T09:55:00Z" w:initials="EK">
    <w:p w14:paraId="227B4298" w14:textId="77777777" w:rsidR="00254C78" w:rsidRDefault="00254C78" w:rsidP="00254C78">
      <w:pPr>
        <w:pStyle w:val="CommentText"/>
      </w:pPr>
      <w:r>
        <w:rPr>
          <w:rStyle w:val="CommentReference"/>
        </w:rPr>
        <w:annotationRef/>
      </w:r>
      <w:r>
        <w:t xml:space="preserve">Desiree and Sarah to fill in </w:t>
      </w:r>
    </w:p>
  </w:comment>
  <w:comment w:id="1" w:author="Evan Kramer" w:date="2019-04-25T14:18:00Z" w:initials="EK">
    <w:p w14:paraId="177AEDA5" w14:textId="15D1DC1E" w:rsidR="005D1338" w:rsidRDefault="005D1338">
      <w:pPr>
        <w:pStyle w:val="CommentText"/>
      </w:pPr>
      <w:r>
        <w:rPr>
          <w:rStyle w:val="CommentReference"/>
        </w:rPr>
        <w:annotationRef/>
      </w:r>
      <w:r>
        <w:t>Desiree and Sarah to flesh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B4298" w15:done="0"/>
  <w15:commentEx w15:paraId="177AEDA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A2B2A" w14:textId="77777777" w:rsidR="00B5372D" w:rsidRDefault="00B5372D" w:rsidP="008723FB">
      <w:pPr>
        <w:spacing w:after="0" w:line="240" w:lineRule="auto"/>
      </w:pPr>
      <w:r>
        <w:separator/>
      </w:r>
    </w:p>
  </w:endnote>
  <w:endnote w:type="continuationSeparator" w:id="0">
    <w:p w14:paraId="57E85A22" w14:textId="77777777" w:rsidR="00B5372D" w:rsidRDefault="00B5372D"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DD8AD" w14:textId="77777777" w:rsidR="00B5372D" w:rsidRDefault="00B5372D" w:rsidP="008723FB">
      <w:pPr>
        <w:spacing w:after="0" w:line="240" w:lineRule="auto"/>
      </w:pPr>
      <w:r>
        <w:separator/>
      </w:r>
    </w:p>
  </w:footnote>
  <w:footnote w:type="continuationSeparator" w:id="0">
    <w:p w14:paraId="3AA0870F" w14:textId="77777777" w:rsidR="00B5372D" w:rsidRDefault="00B5372D" w:rsidP="008723FB">
      <w:pPr>
        <w:spacing w:after="0" w:line="240" w:lineRule="auto"/>
      </w:pPr>
      <w:r>
        <w:continuationSeparator/>
      </w:r>
    </w:p>
  </w:footnote>
  <w:footnote w:id="1">
    <w:p w14:paraId="751C20E5" w14:textId="77777777" w:rsidR="00AE77FE" w:rsidRDefault="00AE77FE" w:rsidP="00AE77FE">
      <w:pPr>
        <w:pStyle w:val="FootnoteText"/>
      </w:pPr>
      <w:r>
        <w:rPr>
          <w:rStyle w:val="FootnoteReference"/>
        </w:rPr>
        <w:footnoteRef/>
      </w:r>
      <w:r>
        <w:t xml:space="preserve"> Value-added performance </w:t>
      </w:r>
      <w:r w:rsidR="000237EC">
        <w:t xml:space="preserve">(i.e., Tennessee Value-Added Assessment System or TVAAS) </w:t>
      </w:r>
      <w:r w:rsidR="00CE3B15">
        <w:t xml:space="preserve">is a statistical measure that </w:t>
      </w:r>
      <w:r w:rsidR="000237EC">
        <w:t xml:space="preserve">compares the average predicted scale scores of students in a given district to their actual scale scores. Predicted scores are constructed based on statewide performance and students’ prior test scores. Please consult this </w:t>
      </w:r>
      <w:hyperlink r:id="rId1" w:history="1">
        <w:r w:rsidR="000237EC" w:rsidRPr="000237EC">
          <w:rPr>
            <w:rStyle w:val="Hyperlink"/>
          </w:rPr>
          <w:t>technical documentation</w:t>
        </w:r>
      </w:hyperlink>
      <w:r w:rsidR="000237EC">
        <w:t xml:space="preserve"> for more information on TVAAS calculations.</w:t>
      </w:r>
    </w:p>
  </w:footnote>
  <w:footnote w:id="2">
    <w:p w14:paraId="6FEA8DA7" w14:textId="5C24A0B2" w:rsidR="007B2AED" w:rsidRDefault="007B2AED">
      <w:pPr>
        <w:pStyle w:val="FootnoteText"/>
      </w:pPr>
      <w:r>
        <w:rPr>
          <w:rStyle w:val="FootnoteReference"/>
        </w:rPr>
        <w:footnoteRef/>
      </w:r>
      <w:r>
        <w:t xml:space="preserve"> The Average daily membership calculation represents the average number of students enrolled </w:t>
      </w:r>
      <w:r w:rsidR="00554B3B">
        <w:t>across</w:t>
      </w:r>
      <w:r>
        <w:t xml:space="preserve"> </w:t>
      </w:r>
      <w:r w:rsidR="00554B3B">
        <w:t xml:space="preserve">various 20-day enrollment periods. For more information, please consult the Tennessee Department of Education’s </w:t>
      </w:r>
      <w:hyperlink r:id="rId2" w:history="1">
        <w:r w:rsidR="00554B3B" w:rsidRPr="00554B3B">
          <w:rPr>
            <w:rStyle w:val="Hyperlink"/>
          </w:rPr>
          <w:t>Attendance Manual</w:t>
        </w:r>
      </w:hyperlink>
      <w:r w:rsidR="008E2237">
        <w:t>.</w:t>
      </w:r>
    </w:p>
  </w:footnote>
  <w:footnote w:id="3">
    <w:p w14:paraId="4C214B82" w14:textId="6C2D9F55" w:rsidR="00780C51" w:rsidRDefault="00780C51">
      <w:pPr>
        <w:pStyle w:val="FootnoteText"/>
      </w:pPr>
      <w:r>
        <w:rPr>
          <w:rStyle w:val="FootnoteReference"/>
        </w:rPr>
        <w:footnoteRef/>
      </w:r>
      <w:r>
        <w:t xml:space="preserve"> Until the 2014-15 school year, students were considered economically disadvantaged based on whether they qualified for free or reduced price lunch. </w:t>
      </w:r>
      <w:r w:rsidR="008E2237">
        <w:t>Starting in the 2015-16 school year, students are considered economically disadvantaged through direct certification, that is, if they qualify for other state or federal benefits such as the Supplemental Nutrition Assistance 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BB448" w14:textId="77777777" w:rsidR="001377AE" w:rsidRDefault="001377AE" w:rsidP="008723FB">
    <w:pPr>
      <w:pStyle w:val="Header"/>
      <w:jc w:val="right"/>
    </w:pPr>
    <w:r>
      <w:t xml:space="preserve">Desiree Robertson </w:t>
    </w:r>
  </w:p>
  <w:p w14:paraId="36CFF0EB" w14:textId="77777777" w:rsidR="001377AE" w:rsidRDefault="001377AE" w:rsidP="008723FB">
    <w:pPr>
      <w:pStyle w:val="Header"/>
      <w:jc w:val="right"/>
    </w:pPr>
    <w:r>
      <w:t>Sarah Pham</w:t>
    </w:r>
  </w:p>
  <w:p w14:paraId="625A3B24" w14:textId="77777777" w:rsidR="008723FB" w:rsidRDefault="008723FB" w:rsidP="008723FB">
    <w:pPr>
      <w:pStyle w:val="Header"/>
      <w:jc w:val="right"/>
    </w:pPr>
    <w:r>
      <w:t>Evan Kramer</w:t>
    </w:r>
  </w:p>
  <w:p w14:paraId="3A9BB0C4" w14:textId="77777777" w:rsidR="008723FB" w:rsidRDefault="00410B55" w:rsidP="008723FB">
    <w:pPr>
      <w:pStyle w:val="Header"/>
      <w:jc w:val="right"/>
    </w:pPr>
    <w:r>
      <w:t>Research Paper</w:t>
    </w:r>
    <w:r w:rsidR="00644910">
      <w:t xml:space="preserve"> –</w:t>
    </w:r>
    <w:r w:rsidR="008723FB">
      <w:t xml:space="preserve"> </w:t>
    </w:r>
    <w:r>
      <w:t>5/1</w:t>
    </w:r>
    <w:r w:rsidR="00644910">
      <w:t>/201</w:t>
    </w:r>
    <w:r w:rsidR="00665CFA">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377"/>
    <w:multiLevelType w:val="hybridMultilevel"/>
    <w:tmpl w:val="3368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43D68"/>
    <w:multiLevelType w:val="hybridMultilevel"/>
    <w:tmpl w:val="19B0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66761"/>
    <w:multiLevelType w:val="hybridMultilevel"/>
    <w:tmpl w:val="84E6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692EFB"/>
    <w:multiLevelType w:val="hybridMultilevel"/>
    <w:tmpl w:val="211E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867C6"/>
    <w:multiLevelType w:val="hybridMultilevel"/>
    <w:tmpl w:val="B6767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032F1"/>
    <w:multiLevelType w:val="hybridMultilevel"/>
    <w:tmpl w:val="F286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25EB5"/>
    <w:multiLevelType w:val="hybridMultilevel"/>
    <w:tmpl w:val="1084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10"/>
  </w:num>
  <w:num w:numId="5">
    <w:abstractNumId w:val="8"/>
  </w:num>
  <w:num w:numId="6">
    <w:abstractNumId w:val="2"/>
  </w:num>
  <w:num w:numId="7">
    <w:abstractNumId w:val="5"/>
  </w:num>
  <w:num w:numId="8">
    <w:abstractNumId w:val="7"/>
  </w:num>
  <w:num w:numId="9">
    <w:abstractNumId w:val="6"/>
  </w:num>
  <w:num w:numId="10">
    <w:abstractNumId w:val="9"/>
  </w:num>
  <w:num w:numId="11">
    <w:abstractNumId w:val="1"/>
  </w:num>
  <w:num w:numId="12">
    <w:abstractNumId w:val="0"/>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 Kramer">
    <w15:presenceInfo w15:providerId="AD" w15:userId="S-1-5-21-2149558826-3324038498-27948981-324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05F02"/>
    <w:rsid w:val="000237EC"/>
    <w:rsid w:val="000248D3"/>
    <w:rsid w:val="00026198"/>
    <w:rsid w:val="00042685"/>
    <w:rsid w:val="000470EE"/>
    <w:rsid w:val="000501D9"/>
    <w:rsid w:val="00050AE4"/>
    <w:rsid w:val="00056573"/>
    <w:rsid w:val="00073270"/>
    <w:rsid w:val="000771C3"/>
    <w:rsid w:val="00081B84"/>
    <w:rsid w:val="00083A2B"/>
    <w:rsid w:val="00083D97"/>
    <w:rsid w:val="00085AC6"/>
    <w:rsid w:val="0009368C"/>
    <w:rsid w:val="000951E6"/>
    <w:rsid w:val="000A4E71"/>
    <w:rsid w:val="000B4D2D"/>
    <w:rsid w:val="000B7074"/>
    <w:rsid w:val="000B7E0D"/>
    <w:rsid w:val="000C02F8"/>
    <w:rsid w:val="000C1EAD"/>
    <w:rsid w:val="000C287D"/>
    <w:rsid w:val="000E31C9"/>
    <w:rsid w:val="000F069C"/>
    <w:rsid w:val="000F7CA2"/>
    <w:rsid w:val="00110AC6"/>
    <w:rsid w:val="00112F17"/>
    <w:rsid w:val="00117966"/>
    <w:rsid w:val="001241E9"/>
    <w:rsid w:val="00126E76"/>
    <w:rsid w:val="001377AE"/>
    <w:rsid w:val="00137CB2"/>
    <w:rsid w:val="00140C17"/>
    <w:rsid w:val="0014653C"/>
    <w:rsid w:val="00147D19"/>
    <w:rsid w:val="001516AF"/>
    <w:rsid w:val="001559BE"/>
    <w:rsid w:val="0016511C"/>
    <w:rsid w:val="00166108"/>
    <w:rsid w:val="0017370C"/>
    <w:rsid w:val="001825B3"/>
    <w:rsid w:val="00187CC7"/>
    <w:rsid w:val="00193F81"/>
    <w:rsid w:val="001958C2"/>
    <w:rsid w:val="00195A9B"/>
    <w:rsid w:val="00197C3F"/>
    <w:rsid w:val="001A1D1F"/>
    <w:rsid w:val="001A559E"/>
    <w:rsid w:val="001C0C60"/>
    <w:rsid w:val="001C267A"/>
    <w:rsid w:val="001C701C"/>
    <w:rsid w:val="001D2066"/>
    <w:rsid w:val="001E05A7"/>
    <w:rsid w:val="001E7862"/>
    <w:rsid w:val="00202F46"/>
    <w:rsid w:val="00206A44"/>
    <w:rsid w:val="00206DDB"/>
    <w:rsid w:val="002179A7"/>
    <w:rsid w:val="0022278E"/>
    <w:rsid w:val="00225BAB"/>
    <w:rsid w:val="00233370"/>
    <w:rsid w:val="002409AE"/>
    <w:rsid w:val="0024649A"/>
    <w:rsid w:val="00253726"/>
    <w:rsid w:val="00254C78"/>
    <w:rsid w:val="00260F2A"/>
    <w:rsid w:val="0026565D"/>
    <w:rsid w:val="00265773"/>
    <w:rsid w:val="00267D9F"/>
    <w:rsid w:val="00271A17"/>
    <w:rsid w:val="00284284"/>
    <w:rsid w:val="00286381"/>
    <w:rsid w:val="00287954"/>
    <w:rsid w:val="00290DBC"/>
    <w:rsid w:val="002C2EC3"/>
    <w:rsid w:val="002C6F37"/>
    <w:rsid w:val="002D2CB0"/>
    <w:rsid w:val="002F3D4D"/>
    <w:rsid w:val="002F42AD"/>
    <w:rsid w:val="00302C71"/>
    <w:rsid w:val="003033B1"/>
    <w:rsid w:val="003053E9"/>
    <w:rsid w:val="00306EEF"/>
    <w:rsid w:val="00317343"/>
    <w:rsid w:val="00322265"/>
    <w:rsid w:val="00327025"/>
    <w:rsid w:val="00335E28"/>
    <w:rsid w:val="00343EEB"/>
    <w:rsid w:val="003479DD"/>
    <w:rsid w:val="00351621"/>
    <w:rsid w:val="00354919"/>
    <w:rsid w:val="00355135"/>
    <w:rsid w:val="00355D85"/>
    <w:rsid w:val="00357CF8"/>
    <w:rsid w:val="00357DF0"/>
    <w:rsid w:val="00357F40"/>
    <w:rsid w:val="00374BEC"/>
    <w:rsid w:val="00375699"/>
    <w:rsid w:val="00377051"/>
    <w:rsid w:val="00392320"/>
    <w:rsid w:val="003A3288"/>
    <w:rsid w:val="003B3EC1"/>
    <w:rsid w:val="003D246C"/>
    <w:rsid w:val="003D3F7D"/>
    <w:rsid w:val="003D658D"/>
    <w:rsid w:val="003E3168"/>
    <w:rsid w:val="003E3FD4"/>
    <w:rsid w:val="003E4FC6"/>
    <w:rsid w:val="003F7A5E"/>
    <w:rsid w:val="0040538D"/>
    <w:rsid w:val="00406937"/>
    <w:rsid w:val="00407FBF"/>
    <w:rsid w:val="00410B55"/>
    <w:rsid w:val="004114FB"/>
    <w:rsid w:val="00425DDE"/>
    <w:rsid w:val="004321BF"/>
    <w:rsid w:val="00433E65"/>
    <w:rsid w:val="00440005"/>
    <w:rsid w:val="00440708"/>
    <w:rsid w:val="00442BCB"/>
    <w:rsid w:val="00444EC6"/>
    <w:rsid w:val="004471D6"/>
    <w:rsid w:val="00450CBF"/>
    <w:rsid w:val="00454789"/>
    <w:rsid w:val="00461A12"/>
    <w:rsid w:val="00470995"/>
    <w:rsid w:val="00477012"/>
    <w:rsid w:val="00491115"/>
    <w:rsid w:val="004A2EFD"/>
    <w:rsid w:val="004C00F8"/>
    <w:rsid w:val="004D119C"/>
    <w:rsid w:val="004D7F26"/>
    <w:rsid w:val="004E226A"/>
    <w:rsid w:val="0050055D"/>
    <w:rsid w:val="00511B6A"/>
    <w:rsid w:val="005176CC"/>
    <w:rsid w:val="005277C6"/>
    <w:rsid w:val="0053227A"/>
    <w:rsid w:val="005358D0"/>
    <w:rsid w:val="00535DF8"/>
    <w:rsid w:val="0054189D"/>
    <w:rsid w:val="00545837"/>
    <w:rsid w:val="00554448"/>
    <w:rsid w:val="00554B3B"/>
    <w:rsid w:val="00560195"/>
    <w:rsid w:val="005649C7"/>
    <w:rsid w:val="00571430"/>
    <w:rsid w:val="00574463"/>
    <w:rsid w:val="005752DC"/>
    <w:rsid w:val="00580024"/>
    <w:rsid w:val="00587159"/>
    <w:rsid w:val="00587B7B"/>
    <w:rsid w:val="0059261A"/>
    <w:rsid w:val="005935E3"/>
    <w:rsid w:val="00593CB9"/>
    <w:rsid w:val="005A45E4"/>
    <w:rsid w:val="005B53DE"/>
    <w:rsid w:val="005D1338"/>
    <w:rsid w:val="005D1517"/>
    <w:rsid w:val="005D1953"/>
    <w:rsid w:val="005D624C"/>
    <w:rsid w:val="005E3E91"/>
    <w:rsid w:val="005F407C"/>
    <w:rsid w:val="006027C9"/>
    <w:rsid w:val="0060298E"/>
    <w:rsid w:val="0060371A"/>
    <w:rsid w:val="00603F72"/>
    <w:rsid w:val="00607889"/>
    <w:rsid w:val="00621A79"/>
    <w:rsid w:val="00621C32"/>
    <w:rsid w:val="006254AD"/>
    <w:rsid w:val="0063022D"/>
    <w:rsid w:val="0063585B"/>
    <w:rsid w:val="00643B58"/>
    <w:rsid w:val="00644910"/>
    <w:rsid w:val="0065426F"/>
    <w:rsid w:val="00654C5E"/>
    <w:rsid w:val="006609D3"/>
    <w:rsid w:val="006625B0"/>
    <w:rsid w:val="006648EB"/>
    <w:rsid w:val="00665CFA"/>
    <w:rsid w:val="006A19F1"/>
    <w:rsid w:val="006B4EE3"/>
    <w:rsid w:val="006B518D"/>
    <w:rsid w:val="006C2480"/>
    <w:rsid w:val="006D2552"/>
    <w:rsid w:val="006E0201"/>
    <w:rsid w:val="006E0332"/>
    <w:rsid w:val="006E41B7"/>
    <w:rsid w:val="006E520F"/>
    <w:rsid w:val="006F29CC"/>
    <w:rsid w:val="006F4AA7"/>
    <w:rsid w:val="0070234D"/>
    <w:rsid w:val="00705BB0"/>
    <w:rsid w:val="00707E6A"/>
    <w:rsid w:val="00720DA6"/>
    <w:rsid w:val="00727A41"/>
    <w:rsid w:val="00727B82"/>
    <w:rsid w:val="00730CEE"/>
    <w:rsid w:val="00731F30"/>
    <w:rsid w:val="00732D39"/>
    <w:rsid w:val="00746FA4"/>
    <w:rsid w:val="007500E3"/>
    <w:rsid w:val="00755B8C"/>
    <w:rsid w:val="00766B26"/>
    <w:rsid w:val="00767AC4"/>
    <w:rsid w:val="00773B9F"/>
    <w:rsid w:val="00774653"/>
    <w:rsid w:val="00780762"/>
    <w:rsid w:val="00780C51"/>
    <w:rsid w:val="00792E74"/>
    <w:rsid w:val="00792F36"/>
    <w:rsid w:val="007975C2"/>
    <w:rsid w:val="007A1590"/>
    <w:rsid w:val="007A240F"/>
    <w:rsid w:val="007A3A42"/>
    <w:rsid w:val="007A60A2"/>
    <w:rsid w:val="007A6B6F"/>
    <w:rsid w:val="007B2AED"/>
    <w:rsid w:val="007B2C12"/>
    <w:rsid w:val="007B4D86"/>
    <w:rsid w:val="007C204A"/>
    <w:rsid w:val="007C3983"/>
    <w:rsid w:val="007C4609"/>
    <w:rsid w:val="007C6573"/>
    <w:rsid w:val="007C70F6"/>
    <w:rsid w:val="007D2D2E"/>
    <w:rsid w:val="007F016F"/>
    <w:rsid w:val="007F23E1"/>
    <w:rsid w:val="007F26EF"/>
    <w:rsid w:val="007F5032"/>
    <w:rsid w:val="007F62F2"/>
    <w:rsid w:val="007F7AD4"/>
    <w:rsid w:val="00804335"/>
    <w:rsid w:val="00805304"/>
    <w:rsid w:val="00815BAF"/>
    <w:rsid w:val="00816773"/>
    <w:rsid w:val="00817CE0"/>
    <w:rsid w:val="00822CEC"/>
    <w:rsid w:val="00823A3D"/>
    <w:rsid w:val="00824FB6"/>
    <w:rsid w:val="00825339"/>
    <w:rsid w:val="0082575F"/>
    <w:rsid w:val="00826017"/>
    <w:rsid w:val="00830F42"/>
    <w:rsid w:val="00836CB2"/>
    <w:rsid w:val="00836D90"/>
    <w:rsid w:val="00844458"/>
    <w:rsid w:val="00844CBE"/>
    <w:rsid w:val="008463A3"/>
    <w:rsid w:val="00855603"/>
    <w:rsid w:val="00860437"/>
    <w:rsid w:val="00866707"/>
    <w:rsid w:val="008723FB"/>
    <w:rsid w:val="00873835"/>
    <w:rsid w:val="00875BA0"/>
    <w:rsid w:val="00881E0B"/>
    <w:rsid w:val="00883BCC"/>
    <w:rsid w:val="00883D52"/>
    <w:rsid w:val="00897938"/>
    <w:rsid w:val="008A283E"/>
    <w:rsid w:val="008C623C"/>
    <w:rsid w:val="008C7669"/>
    <w:rsid w:val="008D205C"/>
    <w:rsid w:val="008E2237"/>
    <w:rsid w:val="008E2F76"/>
    <w:rsid w:val="008F03FF"/>
    <w:rsid w:val="008F14D8"/>
    <w:rsid w:val="008F2169"/>
    <w:rsid w:val="008F7C4E"/>
    <w:rsid w:val="00901281"/>
    <w:rsid w:val="00907B63"/>
    <w:rsid w:val="009102CF"/>
    <w:rsid w:val="00920D52"/>
    <w:rsid w:val="00927C87"/>
    <w:rsid w:val="0093721C"/>
    <w:rsid w:val="00937541"/>
    <w:rsid w:val="00942889"/>
    <w:rsid w:val="0095127A"/>
    <w:rsid w:val="00962ADF"/>
    <w:rsid w:val="009714CA"/>
    <w:rsid w:val="00976E21"/>
    <w:rsid w:val="009813CF"/>
    <w:rsid w:val="00981BC3"/>
    <w:rsid w:val="009835AB"/>
    <w:rsid w:val="00983B33"/>
    <w:rsid w:val="00985410"/>
    <w:rsid w:val="00990809"/>
    <w:rsid w:val="009924D9"/>
    <w:rsid w:val="009925DE"/>
    <w:rsid w:val="00995174"/>
    <w:rsid w:val="009A4584"/>
    <w:rsid w:val="009A62D1"/>
    <w:rsid w:val="009B75AB"/>
    <w:rsid w:val="009C1FD3"/>
    <w:rsid w:val="009C7373"/>
    <w:rsid w:val="009D1985"/>
    <w:rsid w:val="009D24E4"/>
    <w:rsid w:val="009D7EB2"/>
    <w:rsid w:val="009E2B60"/>
    <w:rsid w:val="009E43E8"/>
    <w:rsid w:val="009E7CA3"/>
    <w:rsid w:val="009F1296"/>
    <w:rsid w:val="009F2B93"/>
    <w:rsid w:val="00A12370"/>
    <w:rsid w:val="00A335E0"/>
    <w:rsid w:val="00A3469E"/>
    <w:rsid w:val="00A376AA"/>
    <w:rsid w:val="00A40A0F"/>
    <w:rsid w:val="00A4757D"/>
    <w:rsid w:val="00A54CAD"/>
    <w:rsid w:val="00A563E0"/>
    <w:rsid w:val="00A61A4A"/>
    <w:rsid w:val="00A62033"/>
    <w:rsid w:val="00A674EB"/>
    <w:rsid w:val="00A719BB"/>
    <w:rsid w:val="00A74BE0"/>
    <w:rsid w:val="00A7620B"/>
    <w:rsid w:val="00A76779"/>
    <w:rsid w:val="00A800A1"/>
    <w:rsid w:val="00A81883"/>
    <w:rsid w:val="00A845D7"/>
    <w:rsid w:val="00A863A7"/>
    <w:rsid w:val="00A873B1"/>
    <w:rsid w:val="00AA0354"/>
    <w:rsid w:val="00AA1415"/>
    <w:rsid w:val="00AB3FEA"/>
    <w:rsid w:val="00AC0E36"/>
    <w:rsid w:val="00AC1EB7"/>
    <w:rsid w:val="00AC2080"/>
    <w:rsid w:val="00AC689D"/>
    <w:rsid w:val="00AD079F"/>
    <w:rsid w:val="00AD16D5"/>
    <w:rsid w:val="00AD53C0"/>
    <w:rsid w:val="00AD71EA"/>
    <w:rsid w:val="00AE5344"/>
    <w:rsid w:val="00AE77FE"/>
    <w:rsid w:val="00AF381A"/>
    <w:rsid w:val="00AF56D7"/>
    <w:rsid w:val="00AF648E"/>
    <w:rsid w:val="00AF683A"/>
    <w:rsid w:val="00B00A95"/>
    <w:rsid w:val="00B05636"/>
    <w:rsid w:val="00B14658"/>
    <w:rsid w:val="00B153B4"/>
    <w:rsid w:val="00B20F00"/>
    <w:rsid w:val="00B21643"/>
    <w:rsid w:val="00B24AF9"/>
    <w:rsid w:val="00B312C6"/>
    <w:rsid w:val="00B318AC"/>
    <w:rsid w:val="00B32301"/>
    <w:rsid w:val="00B36919"/>
    <w:rsid w:val="00B40698"/>
    <w:rsid w:val="00B46C16"/>
    <w:rsid w:val="00B50191"/>
    <w:rsid w:val="00B52667"/>
    <w:rsid w:val="00B5372D"/>
    <w:rsid w:val="00B53E3D"/>
    <w:rsid w:val="00B5406B"/>
    <w:rsid w:val="00B5623A"/>
    <w:rsid w:val="00B65E23"/>
    <w:rsid w:val="00B724D6"/>
    <w:rsid w:val="00B72CAE"/>
    <w:rsid w:val="00B76039"/>
    <w:rsid w:val="00B773BB"/>
    <w:rsid w:val="00B77CAD"/>
    <w:rsid w:val="00B812DA"/>
    <w:rsid w:val="00B82E21"/>
    <w:rsid w:val="00B867C8"/>
    <w:rsid w:val="00B87EA6"/>
    <w:rsid w:val="00B9353F"/>
    <w:rsid w:val="00BA12A0"/>
    <w:rsid w:val="00BA4D82"/>
    <w:rsid w:val="00BA5980"/>
    <w:rsid w:val="00BA6BFC"/>
    <w:rsid w:val="00BC0F85"/>
    <w:rsid w:val="00BC2745"/>
    <w:rsid w:val="00BC7589"/>
    <w:rsid w:val="00BE086E"/>
    <w:rsid w:val="00BE5ACC"/>
    <w:rsid w:val="00BF1FA8"/>
    <w:rsid w:val="00C0022F"/>
    <w:rsid w:val="00C030E1"/>
    <w:rsid w:val="00C10706"/>
    <w:rsid w:val="00C10A76"/>
    <w:rsid w:val="00C1624C"/>
    <w:rsid w:val="00C173F2"/>
    <w:rsid w:val="00C24873"/>
    <w:rsid w:val="00C30BAA"/>
    <w:rsid w:val="00C355D2"/>
    <w:rsid w:val="00C412AD"/>
    <w:rsid w:val="00C464FB"/>
    <w:rsid w:val="00C517D3"/>
    <w:rsid w:val="00C613B9"/>
    <w:rsid w:val="00C626A5"/>
    <w:rsid w:val="00C65EDF"/>
    <w:rsid w:val="00C6746F"/>
    <w:rsid w:val="00C72DC8"/>
    <w:rsid w:val="00C73D51"/>
    <w:rsid w:val="00C82AA4"/>
    <w:rsid w:val="00C85B2E"/>
    <w:rsid w:val="00C9291E"/>
    <w:rsid w:val="00C97E45"/>
    <w:rsid w:val="00CB3634"/>
    <w:rsid w:val="00CC1381"/>
    <w:rsid w:val="00CC24D9"/>
    <w:rsid w:val="00CC2D74"/>
    <w:rsid w:val="00CD0963"/>
    <w:rsid w:val="00CE2B73"/>
    <w:rsid w:val="00CE3B15"/>
    <w:rsid w:val="00CE3F6D"/>
    <w:rsid w:val="00CE7E10"/>
    <w:rsid w:val="00CF19AE"/>
    <w:rsid w:val="00CF2F9F"/>
    <w:rsid w:val="00CF6600"/>
    <w:rsid w:val="00D04B9C"/>
    <w:rsid w:val="00D14EBA"/>
    <w:rsid w:val="00D17F4F"/>
    <w:rsid w:val="00D3321E"/>
    <w:rsid w:val="00D358F4"/>
    <w:rsid w:val="00D4789D"/>
    <w:rsid w:val="00D51D63"/>
    <w:rsid w:val="00D53A81"/>
    <w:rsid w:val="00D6796A"/>
    <w:rsid w:val="00D679DF"/>
    <w:rsid w:val="00D75442"/>
    <w:rsid w:val="00D76452"/>
    <w:rsid w:val="00D8212E"/>
    <w:rsid w:val="00DC1134"/>
    <w:rsid w:val="00DC5157"/>
    <w:rsid w:val="00DC693F"/>
    <w:rsid w:val="00DD11C4"/>
    <w:rsid w:val="00DE2449"/>
    <w:rsid w:val="00DE2CF6"/>
    <w:rsid w:val="00DE3DEF"/>
    <w:rsid w:val="00DE6119"/>
    <w:rsid w:val="00DF5936"/>
    <w:rsid w:val="00DF5DB8"/>
    <w:rsid w:val="00DF7B46"/>
    <w:rsid w:val="00DF7EA0"/>
    <w:rsid w:val="00E06556"/>
    <w:rsid w:val="00E067B9"/>
    <w:rsid w:val="00E15D24"/>
    <w:rsid w:val="00E2103B"/>
    <w:rsid w:val="00E22258"/>
    <w:rsid w:val="00E269D4"/>
    <w:rsid w:val="00E30269"/>
    <w:rsid w:val="00E30FBC"/>
    <w:rsid w:val="00E32250"/>
    <w:rsid w:val="00E34CBC"/>
    <w:rsid w:val="00E41AF1"/>
    <w:rsid w:val="00E46217"/>
    <w:rsid w:val="00E606C3"/>
    <w:rsid w:val="00E65921"/>
    <w:rsid w:val="00E66556"/>
    <w:rsid w:val="00E7333A"/>
    <w:rsid w:val="00E75A67"/>
    <w:rsid w:val="00E86044"/>
    <w:rsid w:val="00E9241C"/>
    <w:rsid w:val="00E92C10"/>
    <w:rsid w:val="00EA0BF1"/>
    <w:rsid w:val="00EB2FBC"/>
    <w:rsid w:val="00EB5D30"/>
    <w:rsid w:val="00ED0869"/>
    <w:rsid w:val="00EE1A3F"/>
    <w:rsid w:val="00EE240F"/>
    <w:rsid w:val="00EE4021"/>
    <w:rsid w:val="00EF0C49"/>
    <w:rsid w:val="00F06C14"/>
    <w:rsid w:val="00F10013"/>
    <w:rsid w:val="00F126AF"/>
    <w:rsid w:val="00F24F98"/>
    <w:rsid w:val="00F33A19"/>
    <w:rsid w:val="00F37ADE"/>
    <w:rsid w:val="00F43E1C"/>
    <w:rsid w:val="00F509FA"/>
    <w:rsid w:val="00F53088"/>
    <w:rsid w:val="00F54D9D"/>
    <w:rsid w:val="00F70029"/>
    <w:rsid w:val="00F726E9"/>
    <w:rsid w:val="00F85D1C"/>
    <w:rsid w:val="00F90281"/>
    <w:rsid w:val="00F95754"/>
    <w:rsid w:val="00FA0F7E"/>
    <w:rsid w:val="00FA1238"/>
    <w:rsid w:val="00FB2F46"/>
    <w:rsid w:val="00FB46EC"/>
    <w:rsid w:val="00FC008D"/>
    <w:rsid w:val="00FC22F2"/>
    <w:rsid w:val="00FC352A"/>
    <w:rsid w:val="00FC3FD6"/>
    <w:rsid w:val="00FE3CC0"/>
    <w:rsid w:val="00FE6DCE"/>
    <w:rsid w:val="00FF69D2"/>
    <w:rsid w:val="00FF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742C"/>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 w:type="paragraph" w:styleId="NormalWeb">
    <w:name w:val="Normal (Web)"/>
    <w:basedOn w:val="Normal"/>
    <w:uiPriority w:val="99"/>
    <w:unhideWhenUsed/>
    <w:rsid w:val="00B773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73BB"/>
    <w:rPr>
      <w:color w:val="0000FF"/>
      <w:u w:val="single"/>
    </w:rPr>
  </w:style>
  <w:style w:type="paragraph" w:styleId="FootnoteText">
    <w:name w:val="footnote text"/>
    <w:basedOn w:val="Normal"/>
    <w:link w:val="FootnoteTextChar"/>
    <w:uiPriority w:val="99"/>
    <w:semiHidden/>
    <w:unhideWhenUsed/>
    <w:rsid w:val="00290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DBC"/>
    <w:rPr>
      <w:sz w:val="20"/>
      <w:szCs w:val="20"/>
    </w:rPr>
  </w:style>
  <w:style w:type="character" w:styleId="FootnoteReference">
    <w:name w:val="footnote reference"/>
    <w:basedOn w:val="DefaultParagraphFont"/>
    <w:uiPriority w:val="99"/>
    <w:semiHidden/>
    <w:unhideWhenUsed/>
    <w:rsid w:val="00290DBC"/>
    <w:rPr>
      <w:vertAlign w:val="superscript"/>
    </w:rPr>
  </w:style>
  <w:style w:type="character" w:styleId="CommentReference">
    <w:name w:val="annotation reference"/>
    <w:basedOn w:val="DefaultParagraphFont"/>
    <w:uiPriority w:val="99"/>
    <w:semiHidden/>
    <w:unhideWhenUsed/>
    <w:rsid w:val="00707E6A"/>
    <w:rPr>
      <w:sz w:val="16"/>
      <w:szCs w:val="16"/>
    </w:rPr>
  </w:style>
  <w:style w:type="paragraph" w:styleId="CommentText">
    <w:name w:val="annotation text"/>
    <w:basedOn w:val="Normal"/>
    <w:link w:val="CommentTextChar"/>
    <w:uiPriority w:val="99"/>
    <w:semiHidden/>
    <w:unhideWhenUsed/>
    <w:rsid w:val="00707E6A"/>
    <w:pPr>
      <w:spacing w:line="240" w:lineRule="auto"/>
    </w:pPr>
    <w:rPr>
      <w:sz w:val="20"/>
      <w:szCs w:val="20"/>
    </w:rPr>
  </w:style>
  <w:style w:type="character" w:customStyle="1" w:styleId="CommentTextChar">
    <w:name w:val="Comment Text Char"/>
    <w:basedOn w:val="DefaultParagraphFont"/>
    <w:link w:val="CommentText"/>
    <w:uiPriority w:val="99"/>
    <w:semiHidden/>
    <w:rsid w:val="00707E6A"/>
    <w:rPr>
      <w:sz w:val="20"/>
      <w:szCs w:val="20"/>
    </w:rPr>
  </w:style>
  <w:style w:type="paragraph" w:styleId="CommentSubject">
    <w:name w:val="annotation subject"/>
    <w:basedOn w:val="CommentText"/>
    <w:next w:val="CommentText"/>
    <w:link w:val="CommentSubjectChar"/>
    <w:uiPriority w:val="99"/>
    <w:semiHidden/>
    <w:unhideWhenUsed/>
    <w:rsid w:val="00707E6A"/>
    <w:rPr>
      <w:b/>
      <w:bCs/>
    </w:rPr>
  </w:style>
  <w:style w:type="character" w:customStyle="1" w:styleId="CommentSubjectChar">
    <w:name w:val="Comment Subject Char"/>
    <w:basedOn w:val="CommentTextChar"/>
    <w:link w:val="CommentSubject"/>
    <w:uiPriority w:val="99"/>
    <w:semiHidden/>
    <w:rsid w:val="00707E6A"/>
    <w:rPr>
      <w:b/>
      <w:bCs/>
      <w:sz w:val="20"/>
      <w:szCs w:val="20"/>
    </w:rPr>
  </w:style>
  <w:style w:type="paragraph" w:styleId="BalloonText">
    <w:name w:val="Balloon Text"/>
    <w:basedOn w:val="Normal"/>
    <w:link w:val="BalloonTextChar"/>
    <w:uiPriority w:val="99"/>
    <w:semiHidden/>
    <w:unhideWhenUsed/>
    <w:rsid w:val="00707E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E6A"/>
    <w:rPr>
      <w:rFonts w:ascii="Segoe UI" w:hAnsi="Segoe UI" w:cs="Segoe UI"/>
      <w:sz w:val="18"/>
      <w:szCs w:val="18"/>
    </w:rPr>
  </w:style>
  <w:style w:type="paragraph" w:styleId="HTMLPreformatted">
    <w:name w:val="HTML Preformatted"/>
    <w:basedOn w:val="Normal"/>
    <w:link w:val="HTMLPreformattedChar"/>
    <w:uiPriority w:val="99"/>
    <w:unhideWhenUsed/>
    <w:rsid w:val="00A81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1883"/>
    <w:rPr>
      <w:rFonts w:ascii="Courier New" w:eastAsia="Times New Roman" w:hAnsi="Courier New" w:cs="Courier New"/>
      <w:sz w:val="20"/>
      <w:szCs w:val="20"/>
    </w:rPr>
  </w:style>
  <w:style w:type="character" w:customStyle="1" w:styleId="gnkrckgcgsb">
    <w:name w:val="gnkrckgcgsb"/>
    <w:basedOn w:val="DefaultParagraphFont"/>
    <w:rsid w:val="00A8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143">
      <w:bodyDiv w:val="1"/>
      <w:marLeft w:val="0"/>
      <w:marRight w:val="0"/>
      <w:marTop w:val="0"/>
      <w:marBottom w:val="0"/>
      <w:divBdr>
        <w:top w:val="none" w:sz="0" w:space="0" w:color="auto"/>
        <w:left w:val="none" w:sz="0" w:space="0" w:color="auto"/>
        <w:bottom w:val="none" w:sz="0" w:space="0" w:color="auto"/>
        <w:right w:val="none" w:sz="0" w:space="0" w:color="auto"/>
      </w:divBdr>
    </w:div>
    <w:div w:id="1007094364">
      <w:bodyDiv w:val="1"/>
      <w:marLeft w:val="0"/>
      <w:marRight w:val="0"/>
      <w:marTop w:val="0"/>
      <w:marBottom w:val="0"/>
      <w:divBdr>
        <w:top w:val="none" w:sz="0" w:space="0" w:color="auto"/>
        <w:left w:val="none" w:sz="0" w:space="0" w:color="auto"/>
        <w:bottom w:val="none" w:sz="0" w:space="0" w:color="auto"/>
        <w:right w:val="none" w:sz="0" w:space="0" w:color="auto"/>
      </w:divBdr>
    </w:div>
    <w:div w:id="1072898125">
      <w:bodyDiv w:val="1"/>
      <w:marLeft w:val="0"/>
      <w:marRight w:val="0"/>
      <w:marTop w:val="0"/>
      <w:marBottom w:val="0"/>
      <w:divBdr>
        <w:top w:val="none" w:sz="0" w:space="0" w:color="auto"/>
        <w:left w:val="none" w:sz="0" w:space="0" w:color="auto"/>
        <w:bottom w:val="none" w:sz="0" w:space="0" w:color="auto"/>
        <w:right w:val="none" w:sz="0" w:space="0" w:color="auto"/>
      </w:divBdr>
    </w:div>
    <w:div w:id="1577781478">
      <w:bodyDiv w:val="1"/>
      <w:marLeft w:val="0"/>
      <w:marRight w:val="0"/>
      <w:marTop w:val="0"/>
      <w:marBottom w:val="0"/>
      <w:divBdr>
        <w:top w:val="none" w:sz="0" w:space="0" w:color="auto"/>
        <w:left w:val="none" w:sz="0" w:space="0" w:color="auto"/>
        <w:bottom w:val="none" w:sz="0" w:space="0" w:color="auto"/>
        <w:right w:val="none" w:sz="0" w:space="0" w:color="auto"/>
      </w:divBdr>
    </w:div>
    <w:div w:id="1597441842">
      <w:bodyDiv w:val="1"/>
      <w:marLeft w:val="0"/>
      <w:marRight w:val="0"/>
      <w:marTop w:val="0"/>
      <w:marBottom w:val="0"/>
      <w:divBdr>
        <w:top w:val="none" w:sz="0" w:space="0" w:color="auto"/>
        <w:left w:val="none" w:sz="0" w:space="0" w:color="auto"/>
        <w:bottom w:val="none" w:sz="0" w:space="0" w:color="auto"/>
        <w:right w:val="none" w:sz="0" w:space="0" w:color="auto"/>
      </w:divBdr>
    </w:div>
    <w:div w:id="1713574832">
      <w:bodyDiv w:val="1"/>
      <w:marLeft w:val="0"/>
      <w:marRight w:val="0"/>
      <w:marTop w:val="0"/>
      <w:marBottom w:val="0"/>
      <w:divBdr>
        <w:top w:val="none" w:sz="0" w:space="0" w:color="auto"/>
        <w:left w:val="none" w:sz="0" w:space="0" w:color="auto"/>
        <w:bottom w:val="none" w:sz="0" w:space="0" w:color="auto"/>
        <w:right w:val="none" w:sz="0" w:space="0" w:color="auto"/>
      </w:divBdr>
    </w:div>
    <w:div w:id="1755977120">
      <w:bodyDiv w:val="1"/>
      <w:marLeft w:val="0"/>
      <w:marRight w:val="0"/>
      <w:marTop w:val="0"/>
      <w:marBottom w:val="0"/>
      <w:divBdr>
        <w:top w:val="none" w:sz="0" w:space="0" w:color="auto"/>
        <w:left w:val="none" w:sz="0" w:space="0" w:color="auto"/>
        <w:bottom w:val="none" w:sz="0" w:space="0" w:color="auto"/>
        <w:right w:val="none" w:sz="0" w:space="0" w:color="auto"/>
      </w:divBdr>
    </w:div>
    <w:div w:id="1793402951">
      <w:bodyDiv w:val="1"/>
      <w:marLeft w:val="0"/>
      <w:marRight w:val="0"/>
      <w:marTop w:val="0"/>
      <w:marBottom w:val="0"/>
      <w:divBdr>
        <w:top w:val="none" w:sz="0" w:space="0" w:color="auto"/>
        <w:left w:val="none" w:sz="0" w:space="0" w:color="auto"/>
        <w:bottom w:val="none" w:sz="0" w:space="0" w:color="auto"/>
        <w:right w:val="none" w:sz="0" w:space="0" w:color="auto"/>
      </w:divBdr>
    </w:div>
    <w:div w:id="1860505985">
      <w:bodyDiv w:val="1"/>
      <w:marLeft w:val="0"/>
      <w:marRight w:val="0"/>
      <w:marTop w:val="0"/>
      <w:marBottom w:val="0"/>
      <w:divBdr>
        <w:top w:val="none" w:sz="0" w:space="0" w:color="auto"/>
        <w:left w:val="none" w:sz="0" w:space="0" w:color="auto"/>
        <w:bottom w:val="none" w:sz="0" w:space="0" w:color="auto"/>
        <w:right w:val="none" w:sz="0" w:space="0" w:color="auto"/>
      </w:divBdr>
    </w:div>
    <w:div w:id="2016683199">
      <w:bodyDiv w:val="1"/>
      <w:marLeft w:val="0"/>
      <w:marRight w:val="0"/>
      <w:marTop w:val="0"/>
      <w:marBottom w:val="0"/>
      <w:divBdr>
        <w:top w:val="none" w:sz="0" w:space="0" w:color="auto"/>
        <w:left w:val="none" w:sz="0" w:space="0" w:color="auto"/>
        <w:bottom w:val="none" w:sz="0" w:space="0" w:color="auto"/>
        <w:right w:val="none" w:sz="0" w:space="0" w:color="auto"/>
      </w:divBdr>
    </w:div>
    <w:div w:id="2051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tn.gov/content/dam/tn/education/reports/331958_membership_attendance_manual.pdf" TargetMode="External"/><Relationship Id="rId1" Type="http://schemas.openxmlformats.org/officeDocument/2006/relationships/hyperlink" Target="https://www.tn.gov/content/dam/tn/education/data/tvaas/Statistical_Models_and_Business_Ru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C4AEB-F2A6-4C99-B0F7-12656FCD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133</cp:revision>
  <dcterms:created xsi:type="dcterms:W3CDTF">2019-04-02T00:51:00Z</dcterms:created>
  <dcterms:modified xsi:type="dcterms:W3CDTF">2019-04-25T20:27:00Z</dcterms:modified>
</cp:coreProperties>
</file>