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/>
          <w:bCs/>
          <w:color w:val="000D2D"/>
        </w:rPr>
        <w:t>Citizen AI Program</w:t>
      </w:r>
    </w:p>
    <w:p>
      <w:pPr>
        <w:pStyle w:val="BodyText"/>
        <w:jc w:val="center"/>
      </w:pPr>
      <w:r>
        <w:rPr>
          <w:i/>
          <w:iCs/>
          <w:color w:val="0042E0"/>
        </w:rPr>
        <w:t>The single source of truth for Helm’s Citizen AI Program — onboarding, certification, and continuing education</w:t>
      </w:r>
    </w:p>
    <w:p>
      <w:pPr>
        <w:pStyle w:val="BodyText"/>
        <w:jc w:val="center"/>
      </w:pPr>
      <w:r>
        <w:rPr>
          <w:color w:val="8F9BB2"/>
        </w:rPr>
        <w:t xml:space="preserve">Program Lead: Evan Paliotta · Version 1.0 · Last verified: 2026-07-21</w:t>
      </w:r>
    </w:p>
    <w:bookmarkStart w:id="9" w:name="contents"/>
    <w:p>
      <w:pPr>
        <w:pStyle w:val="Heading2"/>
      </w:pPr>
      <w:r>
        <w:rPr>
          <w:color w:val="0042E0"/>
        </w:rP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How to Use This Document</w:t>
      </w:r>
    </w:p>
    <w:p>
      <w:pPr>
        <w:pStyle w:val="Compact"/>
        <w:numPr>
          <w:ilvl w:val="0"/>
          <w:numId w:val="1001"/>
        </w:numPr>
      </w:pPr>
      <w:r>
        <w:t xml:space="preserve">Program Overview and Philosophy</w:t>
      </w:r>
    </w:p>
    <w:p>
      <w:pPr>
        <w:pStyle w:val="Compact"/>
        <w:numPr>
          <w:ilvl w:val="0"/>
          <w:numId w:val="1001"/>
        </w:numPr>
      </w:pPr>
      <w:r>
        <w:t xml:space="preserve">Onboarding and Certification Path</w:t>
      </w:r>
    </w:p>
    <w:p>
      <w:pPr>
        <w:pStyle w:val="Compact"/>
        <w:numPr>
          <w:ilvl w:val="0"/>
          <w:numId w:val="1001"/>
        </w:numPr>
      </w:pPr>
      <w:r>
        <w:t xml:space="preserve">Continuing Education — Weekly Office Hours</w:t>
      </w:r>
    </w:p>
    <w:p>
      <w:pPr>
        <w:pStyle w:val="Compact"/>
        <w:numPr>
          <w:ilvl w:val="0"/>
          <w:numId w:val="1001"/>
        </w:numPr>
      </w:pPr>
      <w:r>
        <w:t xml:space="preserve">Continuing Education — Monthly Mandatory Sessions</w:t>
      </w:r>
    </w:p>
    <w:p>
      <w:pPr>
        <w:pStyle w:val="Compact"/>
        <w:numPr>
          <w:ilvl w:val="0"/>
          <w:numId w:val="1001"/>
        </w:numPr>
      </w:pPr>
      <w:r>
        <w:t xml:space="preserve">Continuing Education — Quarterly 1:1s</w:t>
      </w:r>
    </w:p>
    <w:p>
      <w:pPr>
        <w:pStyle w:val="Compact"/>
        <w:numPr>
          <w:ilvl w:val="0"/>
          <w:numId w:val="1001"/>
        </w:numPr>
      </w:pPr>
      <w:r>
        <w:t xml:space="preserve">Content Library and Recordings</w:t>
      </w:r>
    </w:p>
    <w:p>
      <w:pPr>
        <w:pStyle w:val="Compact"/>
        <w:numPr>
          <w:ilvl w:val="0"/>
          <w:numId w:val="1001"/>
        </w:numPr>
      </w:pPr>
      <w:r>
        <w:t xml:space="preserve">Tools and Infrastructure</w:t>
      </w:r>
    </w:p>
    <w:p>
      <w:pPr>
        <w:pStyle w:val="Compact"/>
        <w:numPr>
          <w:ilvl w:val="0"/>
          <w:numId w:val="1001"/>
        </w:numPr>
      </w:pPr>
      <w:r>
        <w:t xml:space="preserve">Program Governance</w:t>
      </w:r>
    </w:p>
    <w:p>
      <w:pPr>
        <w:pStyle w:val="Compact"/>
        <w:numPr>
          <w:ilvl w:val="0"/>
          <w:numId w:val="1001"/>
        </w:numPr>
      </w:pPr>
      <w:r>
        <w:t xml:space="preserve">Change Log</w:t>
      </w:r>
    </w:p>
    <w:p>
      <w:r>
        <w:pict>
          <v:rect style="width:0;height:1.5pt" o:hralign="center" o:hrstd="t" o:hr="t"/>
        </w:pict>
      </w:r>
    </w:p>
    <w:bookmarkEnd w:id="9"/>
    <w:bookmarkStart w:id="10" w:name="how-to-use-this-document"/>
    <w:p>
      <w:pPr>
        <w:pStyle w:val="Heading2"/>
      </w:pPr>
      <w:r>
        <w:rPr>
          <w:color w:val="000D2D"/>
        </w:rPr>
        <w:t xml:space="preserve">0. How to Use This Document</w:t>
      </w:r>
    </w:p>
    <w:p>
      <w:pPr>
        <w:pStyle w:val="FirstParagraph"/>
      </w:pPr>
      <w:r>
        <w:t>This document is the operating reference for the Citizen AI Program — everything after initial certification. It complements, not replaces, the course itself (hosted on SharePoint at</w:t>
      </w:r>
      <w:r>
        <w:t xml:space="preserve"> </w:t>
      </w:r>
      <w:r>
        <w:rPr>
          <w:rStyle w:val="VerbatimChar"/>
        </w:rPr>
        <w:t xml:space="preserve">helmmarkets.sharepoint.com/sites/citizenai</w:t>
      </w:r>
      <w:r>
        <w:t xml:space="preserve">), which covers the 16-module curriculum, Final Exam, and Capstone in full.</w:t>
      </w:r>
    </w:p>
    <w:p>
      <w:pPr>
        <w:pStyle w:val="BodyText"/>
      </w:pPr>
      <w:r>
        <w:t xml:space="preserve">Use this document to answer: what happens after someone earns their license, how the ongoing cadence works, where recordings and reference material live, and what tooling supports program administration.</w:t>
      </w:r>
    </w:p>
    <w:p>
      <w:r>
        <w:pict>
          <v:rect style="width:0;height:1.5pt" o:hralign="center" o:hrstd="t" o:hr="t"/>
        </w:pict>
      </w:r>
    </w:p>
    <w:bookmarkEnd w:id="10"/>
    <w:bookmarkStart w:id="11" w:name="program-overview-and-philosophy"/>
    <w:p>
      <w:pPr>
        <w:pStyle w:val="Heading2"/>
      </w:pPr>
      <w:r>
        <w:rPr>
          <w:color w:val="000D2D"/>
        </w:rPr>
        <w:t xml:space="preserve">1. Program Overview and Philosophy</w:t>
      </w:r>
    </w:p>
    <w:p>
      <w:pPr>
        <w:pStyle w:val="FirstParagraph"/>
      </w:pPr>
      <w:r>
        <w:t xml:space="preserve">The program is built on four pillars, introduced to every citizen in Module 0 of the course: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Pillar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ADKAR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Change-readiness framework — are people Aware, willing (Desire), trained (Knowledge), capable (Ability), and is the change sticking (Reinforcement)?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Capability Maturity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A 5-level model for organizational AI adoption maturity, from</w:t>
            </w:r>
            <w:r>
              <w:t xml:space="preserve"> </w:t>
            </w:r>
            <w:r>
              <w:t xml:space="preserve">“no deliberate use”</w:t>
            </w:r>
            <w:r>
              <w:t xml:space="preserve"> </w:t>
            </w:r>
            <w:r>
              <w:t xml:space="preserve">(Level 1) to</w:t>
            </w:r>
            <w:r>
              <w:t xml:space="preserve"> </w:t>
            </w:r>
            <w:r>
              <w:t xml:space="preserve">“strategic differentiator”</w:t>
            </w:r>
            <w:r>
              <w:t xml:space="preserve"> </w:t>
            </w:r>
            <w:r>
              <w:t xml:space="preserve">(Level 5). The program’s goal is Level 3 (Structured) for every citizen team.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OKRs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Every citizen project connects to a company objective. AI use that doesn’t link to a goal doesn’t qualify as program work.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Monitor and Measure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Highlander (Helm’s internal ODL) tracks commit activity, project velocity, and OKR attribution — the program produces evidence, not just effort.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mental model (Jensen Huang, NVIDIA):</w:t>
      </w:r>
      <w:r>
        <w:t xml:space="preserve"> </w:t>
      </w:r>
      <w:r>
        <w:rPr>
          <w:i/>
          <w:iCs/>
        </w:rPr>
        <w:t xml:space="preserve">“AI will not take your job. But someone who uses AI will.”</w:t>
      </w:r>
      <w:r>
        <w:t xml:space="preserve"> </w:t>
      </w:r>
      <w:r>
        <w:t xml:space="preserve">Every job is Purpose (judgment, relationships, decisions) plus Tasks (writing, summarizing, researching, formatting). AI offloads tasks; citizens use the time back to do more purpose-driven work.</w:t>
      </w:r>
    </w:p>
    <w:p>
      <w:pPr>
        <w:pStyle w:val="BodyText"/>
      </w:pPr>
      <w:r>
        <w:rPr>
          <w:b/>
          <w:bCs/>
        </w:rPr>
        <w:t xml:space="preserve">What onboarding builds; what continuing education sustains.</w:t>
      </w:r>
      <w:r>
        <w:t xml:space="preserve"> </w:t>
      </w:r>
      <w:r>
        <w:t xml:space="preserve">The 16-module course and certification (Section 2) address Knowledge and Ability. Everything in this document — office hours, monthly sessions, quarterly 1:1s — addresses Reinforcement. Without it, ADKAR predicts exactly what happens: initial enthusiasm fades, old habits return, no accountability structure remains.</w:t>
      </w:r>
    </w:p>
    <w:p>
      <w:r>
        <w:pict>
          <v:rect style="width:0;height:1.5pt" o:hralign="center" o:hrstd="t" o:hr="t"/>
        </w:pict>
      </w:r>
    </w:p>
    <w:bookmarkEnd w:id="11"/>
    <w:bookmarkStart w:id="12" w:name="onboarding-and-certification-path"/>
    <w:p>
      <w:pPr>
        <w:pStyle w:val="Heading2"/>
      </w:pPr>
      <w:r>
        <w:rPr>
          <w:color w:val="000D2D"/>
        </w:rPr>
        <w:t xml:space="preserve">2. Onboarding and Certification Path</w:t>
      </w:r>
    </w:p>
    <w:p>
      <w:pPr>
        <w:pStyle w:val="FirstParagraph"/>
      </w:pPr>
      <w:r>
        <w:t xml:space="preserve">Full detail lives in the course itself. Summary for reference: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Stage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Module 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Program philosophy and operating model (no quiz)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Modules 1-16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Foundation through Advanced tracks — see table below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Final Exam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25 multiple-choice questions (auto-graded), passing threshold 20/25 (80%), plus two human-graded Practical Submissions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Day 1 Quick Start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Sign the Citizen Developer Agreement, sign in via SSO (Microsoft Entra provisions the Claude Enterprise account automatically — no invite email, no manual request), set up first Project, create first GitHub repo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Capstone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Three deliverables (Project instructions, GitHub repo with METADATA.yaml, one real work output) submitted via the program Teams channel within five business days of licensing; license is provisional until acknowledged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16 modules: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Track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What Claude Is (and Isn’t)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Foundation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How the Model Was Built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Foundation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Tokens — The Currency of AI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Foundation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The Context Window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Foundation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Why Specificity is Everything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Foundation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Anatomy of a Good Prompt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Core Skills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Iteration, Examples, and Getting to Great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Core Skills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Tips, Tricks, and Power User Habits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Core Skills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The Operating Framework (Zone system)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Core Skills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Claude Desktop Projects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Claude Desktop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Documents, Images, and Multimodal Input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Claude Desktop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Claude for Your Team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Safety, Data Hygiene, and Responsible Use — perfect score required (7/7)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Foundation (Required for All)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Advanced Claude — MCP, Agents, and RAG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GitHub — The Collaboration Layer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Citizen Developer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Databases and Data Storage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Citizen Developer</w:t>
            </w:r>
          </w:p>
        </w:tc>
      </w:tr>
    </w:tbl>
    <w:p>
      <w:pPr>
        <w:pStyle w:val="BodyText"/>
      </w:pPr>
      <w:r>
        <w:t xml:space="preserve">Progress can be checked one participant at a time (</w:t>
      </w:r>
      <w:r>
        <w:rPr>
          <w:rStyle w:val="VerbatimChar"/>
        </w:rPr>
        <w:t xml:space="preserve">/citizen-ai-check</w:t>
      </w:r>
      <w:r>
        <w:t xml:space="preserve">) or for the whole cohort at once (</w:t>
      </w:r>
      <w:r>
        <w:rPr>
          <w:rStyle w:val="VerbatimChar"/>
        </w:rPr>
        <w:t xml:space="preserve">/citizen-ai-check-bulk</w:t>
      </w:r>
      <w:r>
        <w:t xml:space="preserve">) — see Section 7.</w:t>
      </w:r>
    </w:p>
    <w:p>
      <w:r>
        <w:pict>
          <v:rect style="width:0;height:1.5pt" o:hralign="center" o:hrstd="t" o:hr="t"/>
        </w:pict>
      </w:r>
    </w:p>
    <w:bookmarkEnd w:id="12"/>
    <w:bookmarkStart w:id="13" w:name="continuing-education-weekly-office-hours"/>
    <w:p>
      <w:pPr>
        <w:pStyle w:val="Heading2"/>
      </w:pPr>
      <w:r>
        <w:rPr>
          <w:color w:val="000D2D"/>
        </w:rPr>
        <w:t xml:space="preserve">3. Continuing Education — Weekly Office Hours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low-stakes, drop-in support. This is where the day-to-day friction of using Claude gets resolved before it turns into abandonment.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rotating light structure to avoid staleness 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Week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Open Q&amp;A — bring your blockers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Feature spotlight — live demo of an advanced capability (Extended Thinking, native connectors, Routines, subagents)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Citizen show-and-tell — a participant walks through something they built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Open Q&amp;A</w:t>
            </w:r>
          </w:p>
        </w:tc>
      </w:tr>
    </w:tbl>
    <w:p>
      <w:pPr>
        <w:pStyle w:val="BodyText"/>
      </w:pPr>
      <w:r>
        <w:rPr>
          <w:b/>
          <w:bCs/>
        </w:rPr>
        <w:t xml:space="preserve">Mechanics:</w:t>
      </w:r>
      <w:r>
        <w:t xml:space="preserve"> </w:t>
      </w:r>
      <w:r>
        <w:t xml:space="preserve">- Citizens post blockers ahead of time in the program Teams channel where practical, so the session can triage efficiently</w:t>
      </w:r>
      <w:r>
        <w:t xml:space="preserve"> </w:t>
      </w:r>
      <w:r>
        <w:t xml:space="preserve">- Attendance is optional — this is support, not certification</w:t>
      </w:r>
      <w:r>
        <w:t xml:space="preserve"> </w:t>
      </w:r>
      <w:r>
        <w:t xml:space="preserve">- Recorded (raw recording is sufficient, no production polish needed) and posted to the Content Library (Section 6)</w:t>
      </w:r>
    </w:p>
    <w:p>
      <w:r>
        <w:pict>
          <v:rect style="width:0;height:1.5pt" o:hralign="center" o:hrstd="t" o:hr="t"/>
        </w:pict>
      </w:r>
    </w:p>
    <w:bookmarkEnd w:id="13"/>
    <w:bookmarkStart w:id="14" w:name="X78cb6b4503c12b8f7d1b346ed6a89eceaf98cfa"/>
    <w:p>
      <w:pPr>
        <w:pStyle w:val="Heading2"/>
      </w:pPr>
      <w:r>
        <w:rPr>
          <w:color w:val="000D2D"/>
        </w:rPr>
        <w:t xml:space="preserve">4. Continuing Education — Monthly Mandatory Sessions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structured reinforcement. This is the ADKAR</w:t>
      </w:r>
      <w:r>
        <w:t xml:space="preserve"> </w:t>
      </w:r>
      <w:r>
        <w:t xml:space="preserve">“Reinforcement”</w:t>
      </w:r>
      <w:r>
        <w:t xml:space="preserve"> </w:t>
      </w:r>
      <w:r>
        <w:t xml:space="preserve">pillar in practice — mandatory because the program’s value depends on the change actually sticking, not just training happening once.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ownership rotates so it doesn’t become a lecture series —</w:t>
      </w:r>
    </w:p>
    <w:p>
      <w:pPr>
        <w:pStyle w:val="Compact"/>
        <w:numPr>
          <w:ilvl w:val="0"/>
          <w:numId w:val="1002"/>
        </w:numPr>
      </w:pPr>
      <w:r>
        <w:t xml:space="preserve">One month: program-lead-led deep dive on an advanced topic</w:t>
      </w:r>
    </w:p>
    <w:p>
      <w:pPr>
        <w:pStyle w:val="Compact"/>
        <w:numPr>
          <w:ilvl w:val="0"/>
          <w:numId w:val="1002"/>
        </w:numPr>
      </w:pPr>
      <w:r>
        <w:t xml:space="preserve">One month: citizen presents a real project (peer learning — the best prompter on the team makes everyone better)</w:t>
      </w:r>
    </w:p>
    <w:p>
      <w:pPr>
        <w:pStyle w:val="Compact"/>
        <w:numPr>
          <w:ilvl w:val="0"/>
          <w:numId w:val="1002"/>
        </w:numPr>
      </w:pPr>
      <w:r>
        <w:t xml:space="preserve">One month: cross-team panel (e.g., Sales and CS comparing how they each use Claude)</w:t>
      </w:r>
    </w:p>
    <w:p>
      <w:pPr>
        <w:pStyle w:val="Compact"/>
        <w:numPr>
          <w:ilvl w:val="0"/>
          <w:numId w:val="1002"/>
        </w:numPr>
      </w:pPr>
      <w:r>
        <w:t xml:space="preserve">Periodically: a Highlander metrics review, showing the cohort its own aggregate impact — this tends to land better than any external motivational content, because it’s their own data</w:t>
      </w:r>
    </w:p>
    <w:p>
      <w:pPr>
        <w:pStyle w:val="Compact"/>
        <w:numPr>
          <w:ilvl w:val="0"/>
          <w:numId w:val="1002"/>
        </w:numPr>
      </w:pPr>
      <w:r>
        <w:t xml:space="preserve">As needed: safety/zone-framework refreshers, especially after any incident or policy update</w:t>
      </w:r>
    </w:p>
    <w:p>
      <w:pPr>
        <w:pStyle w:val="FirstParagraph"/>
      </w:pPr>
      <w:r>
        <w:rPr>
          <w:b/>
          <w:bCs/>
        </w:rPr>
        <w:t xml:space="preserve">Mechanics:</w:t>
      </w:r>
      <w:r>
        <w:t xml:space="preserve"> </w:t>
      </w:r>
      <w:r>
        <w:t xml:space="preserve">- Mandatory attendance, tracked</w:t>
      </w:r>
      <w:r>
        <w:t xml:space="preserve"> </w:t>
      </w:r>
      <w:r>
        <w:t xml:space="preserve">- Recorded and posted to the Content Library — this is the primary way someone who missed a mandatory session catches up, so recording quality (audio especially) matters more here than for office hours</w:t>
      </w:r>
    </w:p>
    <w:p>
      <w:r>
        <w:pict>
          <v:rect style="width:0;height:1.5pt" o:hralign="center" o:hrstd="t" o:hr="t"/>
        </w:pict>
      </w:r>
    </w:p>
    <w:bookmarkEnd w:id="14"/>
    <w:bookmarkStart w:id="15" w:name="continuing-education-quarterly-11s"/>
    <w:p>
      <w:pPr>
        <w:pStyle w:val="Heading2"/>
      </w:pPr>
      <w:r>
        <w:rPr>
          <w:color w:val="000D2D"/>
        </w:rPr>
        <w:t xml:space="preserve">5. Continuing Education — Quarterly 1:1s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individual coaching, not a performance review. The goal is unblocking and goal-setting, tied to the citizen’s own OKR-linked work.</w:t>
      </w:r>
    </w:p>
    <w:p>
      <w:pPr>
        <w:pStyle w:val="BodyText"/>
      </w:pPr>
      <w:r>
        <w:rPr>
          <w:b/>
          <w:bCs/>
        </w:rPr>
        <w:t xml:space="preserve">Structure: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>Self-assessment, asked live</w:t>
      </w:r>
      <w:r>
        <w:t xml:space="preserve"> </w:t>
      </w:r>
      <w:r>
        <w:t>(no pre-submitted form): what did you build this quarter, what’s blocking you, what do you want to learn next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 Highlander/GitHub activity</w:t>
      </w:r>
      <w:r>
        <w:t xml:space="preserve">: what did they actually ship, tied back to their OKR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Capability Maturity check-in</w:t>
      </w:r>
      <w:r>
        <w:t xml:space="preserve">: has their work moved from Level 2 (Experimenting) toward Level 3 (Structured) — repeatable playbooks, shared prompts, consistent GitHub hygiene?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one concrete goal</w:t>
      </w:r>
      <w:r>
        <w:t xml:space="preserve"> </w:t>
      </w:r>
      <w:r>
        <w:t xml:space="preserve">for the next quarter</w:t>
      </w:r>
    </w:p>
    <w:p>
      <w:pPr>
        <w:pStyle w:val="FirstParagraph"/>
      </w:pPr>
      <w:r>
        <w:rPr>
          <w:b/>
          <w:bCs/>
        </w:rPr>
        <w:t xml:space="preserve">Future automation opportunity:</w:t>
      </w:r>
      <w:r>
        <w:t xml:space="preserve"> </w:t>
      </w:r>
      <w:r>
        <w:t xml:space="preserve">a one-pager generated per citizen from their Highlander activity ahead of each 1:1, so the quarter’s work is summarized before the conversation starts rather than reconstructed from memory. Not built yet — flagged here as a natural next step once the cohort is large enough (50-70 people) that manual prep doesn’t scale.</w:t>
      </w:r>
    </w:p>
    <w:p>
      <w:pPr>
        <w:pStyle w:val="FirstParagraph"/>
      </w:pPr>
      <w:r>
        <w:rPr>
          <w:b/>
          <w:bCs/>
        </w:rPr>
        <w:t>Built: 1on1_agenda_template.md (repo root) — a live scratch page with the four prompts above, used during the call. /citizen-1on1-prep [name] opens it pre-filled with the citizen's prior goal. /citizen-1on1-log [name] takes your notes or a transcript afterward and logs it — one item in the restricted “1on1 Tracker” SharePoint list (Name, Email, Quarter, Date, What They Built, Blocker, Capability Level, Goal Set, Prior Goal Status, Notes) plus a one-page docx filed under Program Admin/1on1 Notes/&lt;Name&gt;/ in SharePoint. Both the list and the library have broken permission inheritance, granted only to the Owners group — citizens can never see any of this.</w:t>
      </w:r>
      <w:r/>
      <w:r/>
    </w:p>
    <w:p>
      <w:pPr>
        <w:pStyle w:val="BodyText"/>
      </w:pPr>
      <w:r>
        <w:rPr>
          <w:b/>
          <w:bCs/>
        </w:rPr>
        <w:t xml:space="preserve">Not recorded</w:t>
      </w:r>
      <w:r>
        <w:t xml:space="preserve"> </w:t>
      </w:r>
      <w:r>
        <w:t>— these are private coaching conversations. The tracker captures the outcome (goal set, status, one-line notes), not a transcript.</w:t>
      </w:r>
    </w:p>
    <w:p>
      <w:r>
        <w:pict>
          <v:rect style="width:0;height:1.5pt" o:hralign="center" o:hrstd="t" o:hr="t"/>
        </w:pict>
      </w:r>
    </w:p>
    <w:bookmarkEnd w:id="15"/>
    <w:bookmarkStart w:id="16" w:name="content-library-and-recordings"/>
    <w:p>
      <w:pPr>
        <w:pStyle w:val="Heading2"/>
      </w:pPr>
      <w:r>
        <w:rPr>
          <w:color w:val="000D2D"/>
        </w:rPr>
        <w:t xml:space="preserve">6. Content Library and Recordings</w:t>
      </w:r>
    </w:p>
    <w:p>
      <w:pPr>
        <w:pStyle w:val="FirstParagraph"/>
      </w:pPr>
      <w:r>
        <w:rPr>
          <w:b/>
          <w:bCs/>
        </w:rPr>
        <w:t xml:space="preserve">Recommendation: do not split the existing course site in half.</w:t>
      </w:r>
      <w:r>
        <w:t xml:space="preserve"> </w:t>
      </w:r>
      <w:r>
        <w:t xml:space="preserve">The current Home page and module navigation work well and should not be restructured. Instead, add one new entry point — a</w:t>
      </w:r>
      <w:r>
        <w:t xml:space="preserve"> </w:t>
      </w:r>
      <w:r>
        <w:rPr>
          <w:b/>
          <w:bCs/>
        </w:rPr>
        <w:t xml:space="preserve">Continuing Education Hub</w:t>
      </w:r>
      <w:r>
        <w:t xml:space="preserve"> </w:t>
      </w:r>
      <w:r>
        <w:t xml:space="preserve">page, linked from Home via a single new card, with everything below living under it as its own set of subpages. This achieves full separation between</w:t>
      </w:r>
      <w:r>
        <w:t xml:space="preserve"> </w:t>
      </w:r>
      <w:r>
        <w:t xml:space="preserve">“the course”</w:t>
      </w:r>
      <w:r>
        <w:t xml:space="preserve"> </w:t>
      </w:r>
      <w:r>
        <w:t xml:space="preserve">and</w:t>
      </w:r>
      <w:r>
        <w:t xml:space="preserve"> </w:t>
      </w:r>
      <w:r>
        <w:t xml:space="preserve">“ongoing programming”</w:t>
      </w:r>
      <w:r>
        <w:t xml:space="preserve"> </w:t>
      </w:r>
      <w:r>
        <w:t xml:space="preserve">without touching the certification flow at all.</w:t>
      </w:r>
    </w:p>
    <w:p>
      <w:pPr>
        <w:pStyle w:val="BodyText"/>
      </w:pPr>
      <w:r>
        <w:rPr>
          <w:b/>
          <w:bCs/>
        </w:rPr>
        <w:t xml:space="preserve">Proposed structure under the hub:</w:t>
      </w:r>
      <w:r>
        <w:t xml:space="preserve"> </w:t>
      </w:r>
      <w:r>
        <w:t xml:space="preserve">- Office Hours Archive — recordings by date, lightly tagged by topic</w:t>
      </w:r>
      <w:r>
        <w:t xml:space="preserve"> </w:t>
      </w:r>
      <w:r>
        <w:t xml:space="preserve">- Monthly Session Library — recordings, with the citizen-presented sessions given equal visibility to program-lead-led ones</w:t>
      </w:r>
      <w:r>
        <w:t xml:space="preserve"> </w:t>
      </w:r>
      <w:r>
        <w:t xml:space="preserve">- Feature Spotlight Index — a running list of which advanced capability was covered when, cross-linked to the relevant course module (e.g., the Extended Thinking spotlight links back to Module 8)</w:t>
      </w:r>
      <w:r>
        <w:t xml:space="preserve"> </w:t>
      </w:r>
      <w:r>
        <w:t>- 1:1 Prep Resources — restricted admin-only SharePoint page pointing to /citizen-1on1-prep and /citizen-1on1-log (Section 5); not linked from this citizen-facing hub</w:t>
      </w:r>
    </w:p>
    <w:p>
      <w:pPr>
        <w:pStyle w:val="BodyText"/>
      </w:pPr>
      <w:r>
        <w:rPr>
          <w:b/>
          <w:bCs/>
        </w:rPr>
        <w:t xml:space="preserve">Not yet built</w:t>
      </w:r>
      <w:r>
        <w:t xml:space="preserve"> </w:t>
      </w:r>
      <w:r>
        <w:t xml:space="preserve">— this section documents the plan; implementation is a separate piece of work once prioritized.</w:t>
      </w:r>
    </w:p>
    <w:p>
      <w:r>
        <w:pict>
          <v:rect style="width:0;height:1.5pt" o:hralign="center" o:hrstd="t" o:hr="t"/>
        </w:pict>
      </w:r>
    </w:p>
    <w:bookmarkEnd w:id="16"/>
    <w:bookmarkStart w:id="17" w:name="tools-and-infrastructure"/>
    <w:p>
      <w:pPr>
        <w:pStyle w:val="Heading2"/>
      </w:pPr>
      <w:r>
        <w:rPr>
          <w:color w:val="000D2D"/>
        </w:rPr>
        <w:t xml:space="preserve">7. Tools and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Tool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17 Microsoft Forms (16 module quizzes + Final Exam)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Auto-graded quiz and exam submissions, hosted in the Helm tenant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/citizen-ai-check [name or email]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Checks one participant’s quiz and exam results, reports latest score and attempt count per module, gives a READY / blockers verdict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/citizen-ai-check-bulk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Checks the entire cohort at once, writes a CSV with one row per participant covering all 16 modules plus Final Exam, and a Verdict column — the way to review the whole program’s progress without going participant by participant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Highlander (internal ODL)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Tracks GitHub commit activity, project velocity, and OKR attribution post-licensing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GitHub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Every citizen project lives in its own repo with a METADATA.yaml linking it to an OKR — see Module 15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Microsoft Entra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Provisions and revokes Claude Enterprise access; licensing is SCIM-based, no manual invite process</w:t>
            </w:r>
          </w:p>
        </w:tc>
      </w:tr>
    </w:tbl>
    <w:p>
      <w:pPr>
        <w:pStyle w:val="BodyText"/>
      </w:pPr>
      <w:r>
        <w:t xml:space="preserve">Both</w:t>
      </w:r>
      <w:r>
        <w:t xml:space="preserve"> </w:t>
      </w:r>
      <w:r>
        <w:rPr>
          <w:rStyle w:val="VerbatimChar"/>
        </w:rPr>
        <w:t xml:space="preserve">/citizen-ai-check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/citizen-ai-check-bulk</w:t>
      </w:r>
      <w:r>
        <w:t xml:space="preserve"> </w:t>
      </w:r>
      <w:r>
        <w:t xml:space="preserve">require an active session signed into forms.office.com with a Helm (</w:t>
      </w:r>
      <w:r>
        <w:t xml:space="preserve">@helmmarkets.com</w:t>
      </w:r>
      <w:r>
        <w:t xml:space="preserve">) account — they read live Form responses directly, since Microsoft Forms does not expose a usable score through its API and both tools compute scores by comparing submitted answers against an embedded answer key.</w:t>
      </w:r>
    </w:p>
    <w:p>
      <w:r>
        <w:pict>
          <v:rect style="width:0;height:1.5pt" o:hralign="center" o:hrstd="t" o:hr="t"/>
        </w:pict>
      </w:r>
    </w:p>
    <w:bookmarkEnd w:id="17"/>
    <w:bookmarkStart w:id="18" w:name="program-governance"/>
    <w:p>
      <w:pPr>
        <w:pStyle w:val="Heading2"/>
      </w:pPr>
      <w:r>
        <w:rPr>
          <w:color w:val="000D2D"/>
        </w:rPr>
        <w:t xml:space="preserve">8. Program Governance</w:t>
      </w:r>
    </w:p>
    <w:p>
      <w:pPr>
        <w:pStyle w:val="FirstParagraph"/>
      </w:pPr>
      <w:r>
        <w:rPr>
          <w:b/>
          <w:bCs/>
        </w:rPr>
        <w:t xml:space="preserve">Licensing:</w:t>
      </w:r>
      <w:r>
        <w:t xml:space="preserve"> </w:t>
      </w:r>
      <w:r>
        <w:t xml:space="preserve">- Issuance: Microsoft Entra admin portal → assign the Claude Enterprise app to the student’s company email. Live within about an hour; no invitation email is sent.</w:t>
      </w:r>
      <w:r>
        <w:t xml:space="preserve"> </w:t>
      </w:r>
      <w:r>
        <w:t>- Revocation: remove the Entra app assignment and remove from the GitHub citizen team. See the Citizen AI Policies &amp; Procedures document for the full offboarding checklist.</w:t>
      </w:r>
    </w:p>
    <w:p>
      <w:pPr>
        <w:pStyle w:val="BodyText"/>
      </w:pPr>
      <w:r>
        <w:rPr>
          <w:b/>
          <w:bCs/>
        </w:rPr>
        <w:t xml:space="preserve">Safety and data handling</w:t>
      </w:r>
      <w:r>
        <w:t xml:space="preserve"> </w:t>
      </w:r>
      <w:r>
        <w:t xml:space="preserve">(full detail in Module 13, required for all citizens with a perfect score):</w:t>
      </w:r>
      <w:r>
        <w:t xml:space="preserve"> </w:t>
      </w:r>
      <w:r>
        <w:t xml:space="preserve">- Zone 1 (public data only), Zone 2 (internal, non-confidential), Zone 3 (confidential, client data, PII, or any live connected system) — the data determines the zone, not the task. When in doubt, go up a zone.</w:t>
      </w:r>
      <w:r>
        <w:t xml:space="preserve"> </w:t>
      </w:r>
      <w:r>
        <w:t xml:space="preserve">- Credentials are a hard stop with no exceptions, in any zone.</w:t>
      </w:r>
      <w:r>
        <w:t xml:space="preserve"> </w:t>
      </w:r>
      <w:r>
        <w:t xml:space="preserve">- Native connectors and MCP connections to live systems are automatically Zone 3, regardless of what data is believed to be involved.</w:t>
      </w:r>
    </w:p>
    <w:p>
      <w:pPr>
        <w:pStyle w:val="BodyText"/>
      </w:pPr>
      <w:r>
        <w:rPr>
          <w:b/>
          <w:bCs/>
        </w:rPr>
        <w:t xml:space="preserve">Human-in-the-loop principle:</w:t>
      </w:r>
      <w:r>
        <w:t xml:space="preserve"> </w:t>
      </w:r>
      <w:r>
        <w:t xml:space="preserve">any automated workflow that takes a real-world action (sends an email, updates a record, publishes content) requires a human review step before execution, at least until the workflow has proven reliable.</w:t>
      </w:r>
    </w:p>
    <w:p>
      <w:r>
        <w:pict>
          <v:rect style="width:0;height:1.5pt" o:hralign="center" o:hrstd="t" o:hr="t"/>
        </w:pict>
      </w:r>
    </w:p>
    <w:bookmarkEnd w:id="18"/>
    <w:bookmarkStart w:id="19" w:name="change-log"/>
    <w:p>
      <w:pPr>
        <w:pStyle w:val="Heading2"/>
      </w:pPr>
      <w:r>
        <w:rPr>
          <w:color w:val="000D2D"/>
        </w:rPr>
        <w:t xml:space="preserve">9.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2026-07-21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</w:pPr>
            <w:r>
              <w:t xml:space="preserve">Initial version — program overview, continuing education cadence, tools, and governance</w:t>
            </w:r>
          </w:p>
        </w:tc>
      </w:tr>
    </w:tbl>
    <w:bookmarkEnd w:id="19"/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F9BB2"/>
        <w:sz w:val="18"/>
      </w:rPr>
      <w:t>Helm Markets — Internal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2026-07-21T17:11:01Z</dcterms:created>
  <dcterms:modified xsi:type="dcterms:W3CDTF">2026-07-21T17:11:01Z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