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Citizen AI Engineer Program: Executive Plan</w:t>
      </w:r>
    </w:p>
    <w:p>
      <w:pPr>
        <w:pStyle w:val="Heading2"/>
        <w:spacing w:before="160" w:after="60"/>
      </w:pPr>
      <w:r>
        <w:rPr>
          <w:color w:val="1A1A2E"/>
          <w:sz w:val="22"/>
        </w:rPr>
        <w:t>What We're Doing</w:t>
      </w:r>
    </w:p>
    <w:p>
      <w:pPr>
        <w:spacing w:after="60"/>
      </w:pPr>
      <w:r>
        <w:rPr>
          <w:sz w:val="18"/>
        </w:rPr>
        <w:t xml:space="preserve">Rolling out Claude AI licenses to employees using a </w:t>
      </w:r>
      <w:r>
        <w:rPr>
          <w:b/>
          <w:sz w:val="18"/>
        </w:rPr>
        <w:t>driver's license model</w:t>
      </w:r>
      <w:r>
        <w:rPr>
          <w:sz w:val="18"/>
        </w:rPr>
        <w:t xml:space="preserve">: everyone who receives a license completes a certification course, signs an acceptable use agreement, and follows tiered processes based on the sensitivity of their work. This enables productivity gains from AI while maintaining </w:t>
      </w:r>
      <w:r>
        <w:rPr>
          <w:b/>
          <w:sz w:val="18"/>
        </w:rPr>
        <w:t>SOC2 Type II</w:t>
      </w:r>
      <w:r>
        <w:rPr>
          <w:sz w:val="18"/>
        </w:rPr>
        <w:t xml:space="preserve"> and </w:t>
      </w:r>
      <w:r>
        <w:rPr>
          <w:b/>
          <w:sz w:val="18"/>
        </w:rPr>
        <w:t>ISO 27001</w:t>
      </w:r>
      <w:r>
        <w:rPr>
          <w:sz w:val="18"/>
        </w:rPr>
        <w:t xml:space="preserve"> compliance.</w:t>
      </w:r>
    </w:p>
    <w:p>
      <w:pPr>
        <w:pStyle w:val="Heading2"/>
        <w:spacing w:before="160" w:after="60"/>
      </w:pPr>
      <w:r>
        <w:rPr>
          <w:color w:val="1A1A2E"/>
          <w:sz w:val="22"/>
        </w:rPr>
        <w:t>Why Enterprise Plan is Required</w:t>
      </w:r>
    </w:p>
    <w:p>
      <w:pPr>
        <w:spacing w:after="60"/>
      </w:pPr>
      <w:r>
        <w:rPr>
          <w:sz w:val="18"/>
        </w:rPr>
        <w:t>Our current Team plan provides technical guardrails (sandbox, managed settings, MCP server lockdown) but lacks the audit and monitoring capabilities our compliance certifications require. Enterprise adds: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6912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Compliance Requirement</w:t>
            </w:r>
          </w:p>
        </w:tc>
      </w:tr>
      <w:tr>
        <w:tc>
          <w:tcPr>
            <w:tcW w:type="dxa" w:w="2592"/>
            <w:shd w:fill="F5F5F5" w:val="clear"/>
          </w:tcPr>
          <w:p>
            <w:r>
              <w:rPr>
                <w:sz w:val="17"/>
              </w:rPr>
              <w:t>Audit Logs</w:t>
            </w:r>
          </w:p>
        </w:tc>
        <w:tc>
          <w:tcPr>
            <w:tcW w:type="dxa" w:w="6912"/>
            <w:shd w:fill="F5F5F5" w:val="clear"/>
          </w:tcPr>
          <w:p>
            <w:r>
              <w:rPr>
                <w:sz w:val="17"/>
              </w:rPr>
              <w:t>SOC2 CC7.2 — Must prove who did what and when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Compliance API (SIEM)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SOC2 CC7.1 — Continuous monitoring required</w:t>
            </w:r>
          </w:p>
        </w:tc>
      </w:tr>
      <w:tr>
        <w:tc>
          <w:tcPr>
            <w:tcW w:type="dxa" w:w="2592"/>
            <w:shd w:fill="F5F5F5" w:val="clear"/>
          </w:tcPr>
          <w:p>
            <w:r>
              <w:rPr>
                <w:sz w:val="17"/>
              </w:rPr>
              <w:t>SCIM Provisioning</w:t>
            </w:r>
          </w:p>
        </w:tc>
        <w:tc>
          <w:tcPr>
            <w:tcW w:type="dxa" w:w="6912"/>
            <w:shd w:fill="F5F5F5" w:val="clear"/>
          </w:tcPr>
          <w:p>
            <w:r>
              <w:rPr>
                <w:sz w:val="17"/>
              </w:rPr>
              <w:t>SOC2 CC6.1/6.2 — Automated de-provisioning on offboard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Custom Data Retention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ISO 27001 A.8.10 — Provable data lifecycle management</w:t>
            </w:r>
          </w:p>
        </w:tc>
      </w:tr>
    </w:tbl>
    <w:p>
      <w:pPr>
        <w:spacing w:after="60"/>
      </w:pPr>
      <w:r>
        <w:rPr>
          <w:sz w:val="18"/>
        </w:rPr>
      </w:r>
      <w:r>
        <w:rPr>
          <w:b/>
          <w:sz w:val="18"/>
        </w:rPr>
        <w:t>Without these detective controls, we can set rules but cannot prove they're being followed.</w:t>
      </w:r>
      <w:r>
        <w:rPr>
          <w:sz w:val="18"/>
        </w:rPr>
      </w:r>
    </w:p>
    <w:p>
      <w:pPr>
        <w:pStyle w:val="Heading2"/>
        <w:spacing w:before="160" w:after="60"/>
      </w:pPr>
      <w:r>
        <w:rPr>
          <w:color w:val="1A1A2E"/>
          <w:sz w:val="22"/>
        </w:rPr>
        <w:t>The Driving Zones Model</w:t>
      </w:r>
    </w:p>
    <w:p>
      <w:pPr>
        <w:spacing w:after="60"/>
      </w:pPr>
      <w:r>
        <w:rPr>
          <w:sz w:val="18"/>
        </w:rPr>
        <w:t xml:space="preserve">Usage is tiered by </w:t>
      </w:r>
      <w:r>
        <w:rPr>
          <w:b/>
          <w:sz w:val="18"/>
        </w:rPr>
        <w:t>data sensitivity</w:t>
      </w:r>
      <w:r>
        <w:rPr>
          <w:sz w:val="18"/>
        </w:rPr>
        <w:t xml:space="preserve"> with no gray areas. The data determines the 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3456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Data Involved</w:t>
            </w:r>
          </w:p>
        </w:tc>
        <w:tc>
          <w:tcPr>
            <w:tcW w:type="dxa" w:w="3600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Process Required</w:t>
            </w:r>
          </w:p>
        </w:tc>
      </w:tr>
      <w:tr>
        <w:tc>
          <w:tcPr>
            <w:tcW w:type="dxa" w:w="2448"/>
            <w:shd w:fill="F5F5F5" w:val="clear"/>
          </w:tcPr>
          <w:p>
            <w:r>
              <w:rPr>
                <w:sz w:val="17"/>
              </w:rPr>
              <w:t>Zone 1: Private Property</w:t>
              <w:br/>
              <w:t>(Your driveway)</w:t>
            </w:r>
          </w:p>
        </w:tc>
        <w:tc>
          <w:tcPr>
            <w:tcW w:type="dxa" w:w="3456"/>
            <w:shd w:fill="F5F5F5" w:val="clear"/>
          </w:tcPr>
          <w:p>
            <w:r>
              <w:rPr>
                <w:sz w:val="17"/>
              </w:rPr>
              <w:t>Public data only.</w:t>
              <w:br/>
              <w:t>No company info.</w:t>
            </w:r>
          </w:p>
        </w:tc>
        <w:tc>
          <w:tcPr>
            <w:tcW w:type="dxa" w:w="3600"/>
            <w:shd w:fill="F5F5F5" w:val="clear"/>
          </w:tcPr>
          <w:p>
            <w:r>
              <w:rPr>
                <w:sz w:val="17"/>
              </w:rPr>
              <w:t>None — just use Claude.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Zone 2: Residential</w:t>
              <w:br/>
              <w:t>(Neighborhood streets)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Internal, non-confidential.</w:t>
              <w:br/>
              <w:t>No PII or client data.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GitHub repo + branch protection</w:t>
              <w:br/>
              <w:t>+ code review.</w:t>
            </w:r>
          </w:p>
        </w:tc>
      </w:tr>
      <w:tr>
        <w:tc>
          <w:tcPr>
            <w:tcW w:type="dxa" w:w="2448"/>
            <w:shd w:fill="F5F5F5" w:val="clear"/>
          </w:tcPr>
          <w:p>
            <w:r>
              <w:rPr>
                <w:sz w:val="17"/>
              </w:rPr>
              <w:t>Zone 3: Highway</w:t>
              <w:br/>
              <w:t>(High speed, high stakes)</w:t>
            </w:r>
          </w:p>
        </w:tc>
        <w:tc>
          <w:tcPr>
            <w:tcW w:type="dxa" w:w="3456"/>
            <w:shd w:fill="F5F5F5" w:val="clear"/>
          </w:tcPr>
          <w:p>
            <w:r>
              <w:rPr>
                <w:sz w:val="17"/>
              </w:rPr>
              <w:t>Confidential / PII / client data,</w:t>
              <w:br/>
              <w:t>MCP servers, production systems.</w:t>
            </w:r>
          </w:p>
        </w:tc>
        <w:tc>
          <w:tcPr>
            <w:tcW w:type="dxa" w:w="3600"/>
            <w:shd w:fill="F5F5F5" w:val="clear"/>
          </w:tcPr>
          <w:p>
            <w:r>
              <w:rPr>
                <w:sz w:val="17"/>
              </w:rPr>
              <w:t>Zone 2 + Jira ticket + approved</w:t>
              <w:br/>
              <w:t>MCP servers + full audit logging</w:t>
              <w:br/>
              <w:t>+ manager review.</w:t>
            </w:r>
          </w:p>
        </w:tc>
      </w:tr>
      <w:tr>
        <w:tc>
          <w:tcPr>
            <w:tcW w:type="dxa" w:w="2448"/>
            <w:shd w:fill="FFF0F0" w:val="clear"/>
          </w:tcPr>
          <w:p>
            <w:r>
              <w:rPr>
                <w:sz w:val="17"/>
              </w:rPr>
              <w:t>No-Drive Zone</w:t>
              <w:br/>
              <w:t>(Zero tolerance)</w:t>
            </w:r>
          </w:p>
        </w:tc>
        <w:tc>
          <w:tcPr>
            <w:tcW w:type="dxa" w:w="3456"/>
            <w:shd w:fill="FFF0F0" w:val="clear"/>
          </w:tcPr>
          <w:p>
            <w:r>
              <w:rPr>
                <w:sz w:val="17"/>
              </w:rPr>
              <w:t>Credentials, secrets, bypassing</w:t>
              <w:br/>
              <w:t>guardrails, unapproved tools.</w:t>
            </w:r>
          </w:p>
        </w:tc>
        <w:tc>
          <w:tcPr>
            <w:tcW w:type="dxa" w:w="3600"/>
            <w:shd w:fill="FFF0F0" w:val="clear"/>
          </w:tcPr>
          <w:p>
            <w:r>
              <w:rPr>
                <w:sz w:val="17"/>
              </w:rPr>
              <w:t>Prohibited always.</w:t>
              <w:br/>
              <w:t>Violation = license revocation.</w:t>
            </w:r>
          </w:p>
        </w:tc>
      </w:tr>
    </w:tbl>
    <w:p>
      <w:pPr>
        <w:spacing w:after="60"/>
      </w:pPr>
      <w:r>
        <w:rPr>
          <w:sz w:val="18"/>
        </w:rPr>
      </w:r>
      <w:r>
        <w:rPr>
          <w:b/>
          <w:sz w:val="18"/>
        </w:rPr>
        <w:t>Override rule:</w:t>
      </w:r>
      <w:r>
        <w:rPr>
          <w:sz w:val="18"/>
        </w:rPr>
        <w:t xml:space="preserve"> Any MCP server connecting to a live system automatically triggers Zone 3.</w:t>
      </w:r>
    </w:p>
    <w:p>
      <w:pPr>
        <w:pStyle w:val="Heading2"/>
        <w:spacing w:before="160" w:after="60"/>
      </w:pPr>
      <w:r>
        <w:rPr>
          <w:color w:val="1A1A2E"/>
          <w:sz w:val="22"/>
        </w:rPr>
        <w:t>Technical Guardrail Stack</w:t>
      </w:r>
    </w:p>
    <w:p>
      <w:pPr>
        <w:spacing w:after="60"/>
      </w:pPr>
      <w:r>
        <w:rPr>
          <w:sz w:val="18"/>
        </w:rPr>
        <w:t xml:space="preserve">All enforced centrally via IT-deployed configuration files that users cannot override: </w:t>
      </w:r>
      <w:r>
        <w:rPr>
          <w:b/>
          <w:sz w:val="18"/>
        </w:rPr>
        <w:t>managed-settings.json</w:t>
      </w:r>
      <w:r>
        <w:rPr>
          <w:sz w:val="18"/>
        </w:rPr>
        <w:t xml:space="preserve"> (org-wide permission rules, sandbox enforcement) · </w:t>
      </w:r>
      <w:r>
        <w:rPr>
          <w:b/>
          <w:sz w:val="18"/>
        </w:rPr>
        <w:t>managed-mcp.json</w:t>
      </w:r>
      <w:r>
        <w:rPr>
          <w:sz w:val="18"/>
        </w:rPr>
        <w:t xml:space="preserve"> (deny-by-default MCP server allowlist) · </w:t>
      </w:r>
      <w:r>
        <w:rPr>
          <w:b/>
          <w:sz w:val="18"/>
        </w:rPr>
        <w:t>Global CLAUDE.md</w:t>
      </w:r>
      <w:r>
        <w:rPr>
          <w:sz w:val="18"/>
        </w:rPr>
        <w:t xml:space="preserve"> (governance rules in every session) · </w:t>
      </w:r>
      <w:r>
        <w:rPr>
          <w:b/>
          <w:sz w:val="18"/>
        </w:rPr>
        <w:t>Hooks</w:t>
      </w:r>
      <w:r>
        <w:rPr>
          <w:sz w:val="18"/>
        </w:rPr>
        <w:t xml:space="preserve"> (audit logging, dangerous command blocking) · </w:t>
      </w:r>
      <w:r>
        <w:rPr>
          <w:b/>
          <w:sz w:val="18"/>
        </w:rPr>
        <w:t>GitHub-first workflow</w:t>
      </w:r>
      <w:r>
        <w:rPr>
          <w:sz w:val="18"/>
        </w:rPr>
        <w:t xml:space="preserve"> (all work in version control with branch protection) · </w:t>
      </w:r>
      <w:r>
        <w:rPr>
          <w:b/>
          <w:sz w:val="18"/>
        </w:rPr>
        <w:t>Sandbox</w:t>
      </w:r>
      <w:r>
        <w:rPr>
          <w:sz w:val="18"/>
        </w:rPr>
        <w:t xml:space="preserve"> (OS-level filesystem/network isolation — the true enforcement layer).</w:t>
      </w:r>
    </w:p>
    <w:p>
      <w:pPr>
        <w:pStyle w:val="Heading2"/>
        <w:spacing w:before="160" w:after="60"/>
      </w:pPr>
      <w:r>
        <w:rPr>
          <w:color w:val="1A1A2E"/>
          <w:sz w:val="22"/>
        </w:rPr>
        <w:t>Order of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200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b/>
                <w:sz w:val="17"/>
              </w:rPr>
              <w:t>1. Agree on the Plan</w:t>
            </w:r>
          </w:p>
        </w:tc>
        <w:tc>
          <w:tcPr>
            <w:tcW w:type="dxa" w:w="7200"/>
            <w:shd w:fill="F5F5F5" w:val="clear"/>
          </w:tcPr>
          <w:p>
            <w:r>
              <w:rPr>
                <w:sz w:val="17"/>
              </w:rPr>
              <w:t>CIO reviews against existing SOC2/ISO policies. Approve Driving Zones model, Enterprise upgrade, and overall approach.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7"/>
              </w:rPr>
              <w:t>2. Amend the Policies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Update AUP to reflect Driving Zones, data classification rules, No-Drive violations, and enforcement procedures.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b/>
                <w:sz w:val="17"/>
              </w:rPr>
              <w:t>3. Build Technical Guardrails</w:t>
            </w:r>
          </w:p>
        </w:tc>
        <w:tc>
          <w:tcPr>
            <w:tcW w:type="dxa" w:w="7200"/>
            <w:shd w:fill="F5F5F5" w:val="clear"/>
          </w:tcPr>
          <w:p>
            <w:r>
              <w:rPr>
                <w:sz w:val="17"/>
              </w:rPr>
              <w:t>Deploy managed configs, upgrade to Enterprise, set up SIEM integration via Compliance API.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7"/>
              </w:rPr>
              <w:t>4. Design the Course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Build certification: AI basics, Driving Zones, hands-on sandbox practice per zone, and assessment.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b/>
                <w:sz w:val="17"/>
              </w:rPr>
              <w:t>5. Pilot &amp; Rollout</w:t>
            </w:r>
          </w:p>
        </w:tc>
        <w:tc>
          <w:tcPr>
            <w:tcW w:type="dxa" w:w="7200"/>
            <w:shd w:fill="F5F5F5" w:val="clear"/>
          </w:tcPr>
          <w:p>
            <w:r>
              <w:rPr>
                <w:sz w:val="17"/>
              </w:rPr>
              <w:t>5-10 person pilot across roles. Iterate. Then department-by-department rollout.</w:t>
            </w:r>
          </w:p>
        </w:tc>
      </w:tr>
    </w:tbl>
    <w:p>
      <w:pPr>
        <w:pStyle w:val="Heading2"/>
        <w:spacing w:before="160" w:after="60"/>
      </w:pPr>
      <w:r>
        <w:rPr>
          <w:color w:val="1A1A2E"/>
          <w:sz w:val="22"/>
        </w:rPr>
        <w:t>The Ask</w:t>
      </w:r>
    </w:p>
    <w:p>
      <w:pPr>
        <w:spacing w:after="60"/>
      </w:pPr>
      <w:r>
        <w:rPr>
          <w:sz w:val="18"/>
        </w:rPr>
        <w:t>1. Approve the Driving Zones tiering model as our governance framework</w:t>
        <w:br/>
        <w:t>2. Approve upgrade from Claude Team to Claude Enterprise plan</w:t>
        <w:br/>
        <w:t>3. Review the Acceptable Use Policy draft against this framework</w:t>
        <w:br/>
        <w:t>4. Designate compliance/legal reviewers to align with SOC2/ISO control matrices</w:t>
      </w:r>
    </w:p>
    <w:sectPr w:rsidR="00FC693F" w:rsidRPr="0006063C" w:rsidSect="00034616">
      <w:pgSz w:w="12240" w:h="15840"/>
      <w:pgMar w:top="720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