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/>
          <w:color w:val="0F1117"/>
          <w:sz w:val="36"/>
        </w:rPr>
        <w:t>Citizen AI Engineer Program</w:t>
      </w:r>
    </w:p>
    <w:p>
      <w:r>
        <w:rPr>
          <w:rFonts w:ascii="Calibri" w:hAnsi="Calibri"/>
          <w:i/>
          <w:color w:val="777777"/>
          <w:sz w:val="20"/>
        </w:rPr>
        <w:t>Policies, Procedures &amp; Agreements  ·  April 2026  ·  Confidential</w:t>
      </w:r>
    </w:p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200"/>
      </w:pPr>
      <w:r>
        <w:rPr>
          <w:rFonts w:ascii="Calibri" w:hAnsi="Calibri"/>
          <w:color w:val="444444"/>
          <w:sz w:val="21"/>
        </w:rPr>
        <w:t>The company-wide AI Acceptable Use Policy (AUP) applies to every employee. This document is the additional layer that applies specifically to you as a Citizen AI Engineer. It translates the AUP into plain English, adds the program-specific procedures and expectations, and includes the agreements you sign when you join the program. Read it carefully. You sign it after completing the certification course.</w:t>
      </w:r>
    </w:p>
    <w:p>
      <w:pPr>
        <w:spacing w:before="320" w:after="80"/>
      </w:pPr>
      <w:r>
        <w:rPr>
          <w:rFonts w:ascii="Calibri" w:hAnsi="Calibri"/>
          <w:b/>
          <w:color w:val="2D6FF7"/>
          <w:sz w:val="22"/>
        </w:rPr>
        <w:t>1. THE COMPANY AI POLICY — WHAT IT MEANS FOR YOU</w:t>
      </w:r>
    </w:p>
    <w:p>
      <w:pPr>
        <w:spacing w:after="80"/>
      </w:pPr>
      <w:r>
        <w:rPr>
          <w:rFonts w:ascii="Calibri" w:hAnsi="Calibri"/>
          <w:color w:val="444444"/>
          <w:sz w:val="20"/>
        </w:rPr>
        <w:t>The full AI Acceptable Use Policy is a formal legal document. Here are the rules that matter most in your day-to-day work as a Citizen AI Engineer, stated plainly: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b/>
          <w:color w:val="0F1117"/>
          <w:sz w:val="20"/>
        </w:rPr>
        <w:t xml:space="preserve">The data you're working with determines the rules. </w:t>
      </w:r>
      <w:r>
        <w:rPr>
          <w:rFonts w:ascii="Calibri" w:hAnsi="Calibri"/>
          <w:color w:val="444444"/>
          <w:sz w:val="20"/>
        </w:rPr>
        <w:t>Know your zone before you start. The Driving Zones reference in Section 3 is the decision tool.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b/>
          <w:color w:val="0F1117"/>
          <w:sz w:val="20"/>
        </w:rPr>
        <w:t xml:space="preserve">Claude Teams is the only approved AI tool for company work. </w:t>
      </w:r>
      <w:r>
        <w:rPr>
          <w:rFonts w:ascii="Calibri" w:hAnsi="Calibri"/>
          <w:color w:val="444444"/>
          <w:sz w:val="20"/>
        </w:rPr>
        <w:t>No personal Claude.ai accounts. No ChatGPT. No other AI tools for any work involving company data. The approved client is Claude Desktop or Claude Code — not Claude.ai in a browser or on your phone.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b/>
          <w:color w:val="0F1117"/>
          <w:sz w:val="20"/>
        </w:rPr>
        <w:t xml:space="preserve">Never paste credentials, API keys, or secrets into Claude. </w:t>
      </w:r>
      <w:r>
        <w:rPr>
          <w:rFonts w:ascii="Calibri" w:hAnsi="Calibri"/>
          <w:color w:val="444444"/>
          <w:sz w:val="20"/>
        </w:rPr>
        <w:t>This includes database passwords, tokens, private keys, and anything that authenticates a system. Ever. Under any circumstances. Regardless of zone.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b/>
          <w:color w:val="0F1117"/>
          <w:sz w:val="20"/>
        </w:rPr>
        <w:t xml:space="preserve">AI output is a draft — you are responsible for what you act on or share. </w:t>
      </w:r>
      <w:r>
        <w:rPr>
          <w:rFonts w:ascii="Calibri" w:hAnsi="Calibri"/>
          <w:color w:val="444444"/>
          <w:sz w:val="20"/>
        </w:rPr>
        <w:t>Treat everything Claude generates as a starting point, not a finished product. Fact-check anything you'll publish, distribute, or act on.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b/>
          <w:color w:val="0F1117"/>
          <w:sz w:val="20"/>
        </w:rPr>
        <w:t xml:space="preserve">Client data and confidential information require Zone 3 process. </w:t>
      </w:r>
      <w:r>
        <w:rPr>
          <w:rFonts w:ascii="Calibri" w:hAnsi="Calibri"/>
          <w:color w:val="444444"/>
          <w:sz w:val="20"/>
        </w:rPr>
        <w:t>See Section 3. Additional steps apply. Do not skip them.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b/>
          <w:color w:val="0F1117"/>
          <w:sz w:val="20"/>
        </w:rPr>
        <w:t xml:space="preserve">Report any incident immediately. </w:t>
      </w:r>
      <w:r>
        <w:rPr>
          <w:rFonts w:ascii="Calibri" w:hAnsi="Calibri"/>
          <w:color w:val="444444"/>
          <w:sz w:val="20"/>
        </w:rPr>
        <w:t>Accidental data paste, unexpected AI behavior, suspicious output, anything that feels wrong — contact IT Security (and Evan) the same business day. Do not delete prompts or outputs first.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b/>
          <w:color w:val="0F1117"/>
          <w:sz w:val="20"/>
        </w:rPr>
        <w:t xml:space="preserve">Violations are graduated but serious. </w:t>
      </w:r>
      <w:r>
        <w:rPr>
          <w:rFonts w:ascii="Calibri" w:hAnsi="Calibri"/>
          <w:color w:val="444444"/>
          <w:sz w:val="20"/>
        </w:rPr>
        <w:t>First offense: retraining. Repeated or serious violations: access revoked. Severe violations (intentional data exfiltration, deceptive content): termination and possible legal action. The company takes this seriously. So should you.</w:t>
      </w:r>
    </w:p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color w:val="2D6FF7"/>
          <w:sz w:val="22"/>
        </w:rPr>
        <w:t>2. RISK TIERS AND THE DRIVING ZONES</w:t>
      </w:r>
    </w:p>
    <w:p>
      <w:pPr>
        <w:spacing w:after="80"/>
      </w:pPr>
      <w:r>
        <w:rPr>
          <w:rFonts w:ascii="Calibri" w:hAnsi="Calibri"/>
          <w:color w:val="444444"/>
          <w:sz w:val="20"/>
        </w:rPr>
        <w:t>The AUP uses a four-tier risk framework (Tier 1–4). The Citizen AI Engineer program maps these tiers to the Driving Zones model. Both systems say the same thing — the data you're working with determines the process required. Here is how they align: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48"/>
            <w:shd w:fill="0F1117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Driving Zone</w:t>
            </w:r>
          </w:p>
        </w:tc>
        <w:tc>
          <w:tcPr>
            <w:tcW w:type="dxa" w:w="1872"/>
            <w:shd w:fill="0F1117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AUP Tier</w:t>
            </w:r>
          </w:p>
        </w:tc>
        <w:tc>
          <w:tcPr>
            <w:tcW w:type="dxa" w:w="2448"/>
            <w:shd w:fill="0F1117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Data Type</w:t>
            </w:r>
          </w:p>
        </w:tc>
        <w:tc>
          <w:tcPr>
            <w:tcW w:type="dxa" w:w="4421"/>
            <w:shd w:fill="0F1117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What's Required</w:t>
            </w:r>
          </w:p>
        </w:tc>
      </w:tr>
      <w:tr>
        <w:tc>
          <w:tcPr>
            <w:tcW w:type="dxa" w:w="2448"/>
            <w:shd w:fill="F0F4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F1117"/>
                <w:sz w:val="19"/>
              </w:rPr>
              <w:t>Zone 1 — Private Property</w:t>
            </w:r>
          </w:p>
        </w:tc>
        <w:tc>
          <w:tcPr>
            <w:tcW w:type="dxa" w:w="1872"/>
            <w:shd w:fill="F0F4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777777"/>
                <w:sz w:val="19"/>
              </w:rPr>
              <w:t>Tier 1 — Minimal</w:t>
            </w:r>
          </w:p>
        </w:tc>
        <w:tc>
          <w:tcPr>
            <w:tcW w:type="dxa" w:w="2448"/>
            <w:shd w:fill="F0F4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Public data only. No company info, no client names, no internal terminology.</w:t>
            </w:r>
          </w:p>
        </w:tc>
        <w:tc>
          <w:tcPr>
            <w:tcW w:type="dxa" w:w="4421"/>
            <w:shd w:fill="F0F4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No governance required. Push to GitHub anyway — Highlander tracks all citizen activity.</w:t>
            </w:r>
          </w:p>
        </w:tc>
      </w:tr>
      <w:tr>
        <w:tc>
          <w:tcPr>
            <w:tcW w:type="dxa" w:w="2448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F1117"/>
                <w:sz w:val="19"/>
              </w:rPr>
              <w:t>Zone 2 — Residential Streets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777777"/>
                <w:sz w:val="19"/>
              </w:rPr>
              <w:t>Tier 2 — Low</w:t>
            </w:r>
          </w:p>
        </w:tc>
        <w:tc>
          <w:tcPr>
            <w:tcW w:type="dxa" w:w="2448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Internal company data (non-confidential). No PII. No client data.</w:t>
            </w:r>
          </w:p>
        </w:tc>
        <w:tc>
          <w:tcPr>
            <w:tcW w:type="dxa" w:w="4421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GitHub repo required. Branch protection on. No direct push to main. Code review before merge.</w:t>
            </w:r>
          </w:p>
        </w:tc>
      </w:tr>
      <w:tr>
        <w:tc>
          <w:tcPr>
            <w:tcW w:type="dxa" w:w="2448"/>
            <w:shd w:fill="FFF3CD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F1117"/>
                <w:sz w:val="19"/>
              </w:rPr>
              <w:t>Zone 3 — The Highway</w:t>
            </w:r>
          </w:p>
        </w:tc>
        <w:tc>
          <w:tcPr>
            <w:tcW w:type="dxa" w:w="1872"/>
            <w:shd w:fill="FFF3CD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777777"/>
                <w:sz w:val="19"/>
              </w:rPr>
              <w:t>Tier 3 — Elevated</w:t>
            </w:r>
          </w:p>
        </w:tc>
        <w:tc>
          <w:tcPr>
            <w:tcW w:type="dxa" w:w="2448"/>
            <w:shd w:fill="FFF3CD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Confidential data, PII, client data, or any live system accessed via MCP.</w:t>
            </w:r>
          </w:p>
        </w:tc>
        <w:tc>
          <w:tcPr>
            <w:tcW w:type="dxa" w:w="4421"/>
            <w:shd w:fill="FFF3CD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Everything in Zone 2, plus: approved MCP servers only, full commit documentation, manager review.</w:t>
            </w:r>
          </w:p>
        </w:tc>
      </w:tr>
      <w:tr>
        <w:tc>
          <w:tcPr>
            <w:tcW w:type="dxa" w:w="2448"/>
            <w:shd w:fill="FFE8E8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C0392B"/>
                <w:sz w:val="19"/>
              </w:rPr>
              <w:t>Zone 3 (Escalated) / No-Drive</w:t>
            </w:r>
          </w:p>
        </w:tc>
        <w:tc>
          <w:tcPr>
            <w:tcW w:type="dxa" w:w="1872"/>
            <w:shd w:fill="FFE8E8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777777"/>
                <w:sz w:val="19"/>
              </w:rPr>
              <w:t>Tier 4 — High Risk</w:t>
            </w:r>
          </w:p>
        </w:tc>
        <w:tc>
          <w:tcPr>
            <w:tcW w:type="dxa" w:w="2448"/>
            <w:shd w:fill="FFE8E8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Agentic workflows with autonomous decisions, or anything touching legal/financial/employment outcomes.</w:t>
            </w:r>
          </w:p>
        </w:tc>
        <w:tc>
          <w:tcPr>
            <w:tcW w:type="dxa" w:w="4421"/>
            <w:shd w:fill="FFE8E8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Executive-level approval required before deployment. Likely outside citizen scope — escalate to Evan.</w:t>
            </w:r>
          </w:p>
        </w:tc>
      </w:tr>
      <w:tr>
        <w:tc>
          <w:tcPr>
            <w:tcW w:type="dxa" w:w="2448"/>
            <w:shd w:fill="FFD6D6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C0392B"/>
                <w:sz w:val="19"/>
              </w:rPr>
              <w:t>No-Drive Zone</w:t>
            </w:r>
          </w:p>
        </w:tc>
        <w:tc>
          <w:tcPr>
            <w:tcW w:type="dxa" w:w="1872"/>
            <w:shd w:fill="FFD6D6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777777"/>
                <w:sz w:val="19"/>
              </w:rPr>
              <w:t>Prohibited (AUP §7)</w:t>
            </w:r>
          </w:p>
        </w:tc>
        <w:tc>
          <w:tcPr>
            <w:tcW w:type="dxa" w:w="2448"/>
            <w:shd w:fill="FFD6D6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Credentials, secrets, unapproved tools, personal AI accounts for work, bypassing guardrails.</w:t>
            </w:r>
          </w:p>
        </w:tc>
        <w:tc>
          <w:tcPr>
            <w:tcW w:type="dxa" w:w="4421"/>
            <w:shd w:fill="FFD6D6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Strictly prohibited. Violation triggers immediate license suspension and review.</w:t>
            </w:r>
          </w:p>
        </w:tc>
      </w:tr>
    </w:tbl>
    <w:p/>
    <w:p>
      <w:pPr>
        <w:spacing w:after="80"/>
        <w:ind w:left="288"/>
      </w:pPr>
      <w:r>
        <w:rPr>
          <w:rFonts w:ascii="Calibri" w:hAnsi="Calibri"/>
          <w:i/>
          <w:color w:val="777777"/>
          <w:sz w:val="18"/>
        </w:rPr>
        <w:t>Decision rule: The data determines the zone. Any MCP server connecting to a live system is automatically Zone 3, regardless of what data you think is involved. When in doubt, go up a zone.</w:t>
      </w:r>
    </w:p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color w:val="2D6FF7"/>
          <w:sz w:val="22"/>
        </w:rPr>
        <w:t>3. CITIZEN AI ENGINEER — SPECIFIC OBLIGATIONS</w:t>
      </w:r>
    </w:p>
    <w:p>
      <w:pPr>
        <w:spacing w:after="80"/>
      </w:pPr>
      <w:r>
        <w:rPr>
          <w:rFonts w:ascii="Calibri" w:hAnsi="Calibri"/>
          <w:color w:val="444444"/>
          <w:sz w:val="20"/>
        </w:rPr>
        <w:t>The following apply to program participants only. These are in addition to the company-wide AUP.</w:t>
      </w:r>
    </w:p>
    <w:p>
      <w:pPr>
        <w:spacing w:before="200" w:after="60"/>
      </w:pPr>
      <w:r>
        <w:rPr>
          <w:rFonts w:ascii="Calibri" w:hAnsi="Calibri"/>
          <w:b/>
          <w:color w:val="0F1117"/>
          <w:sz w:val="21"/>
        </w:rPr>
        <w:t>All AI-assisted work goes in GitHub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color w:val="444444"/>
          <w:sz w:val="20"/>
        </w:rPr>
        <w:t>No local-only work. Every project, every output, every experiment — commit it to a GitHub repo.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color w:val="444444"/>
          <w:sz w:val="20"/>
        </w:rPr>
        <w:t>Zone 1 work included. Even if you're just learning, a repo entry creates a record Highlander can use.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color w:val="444444"/>
          <w:sz w:val="20"/>
        </w:rPr>
        <w:t>Push frequently. At minimum weekly when actively working. This is how the program proves its value.</w:t>
      </w:r>
    </w:p>
    <w:p>
      <w:pPr>
        <w:spacing w:before="200" w:after="60"/>
      </w:pPr>
      <w:r>
        <w:rPr>
          <w:rFonts w:ascii="Calibri" w:hAnsi="Calibri"/>
          <w:b/>
          <w:color w:val="0F1117"/>
          <w:sz w:val="21"/>
        </w:rPr>
        <w:t>GitHub account requirements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color w:val="444444"/>
          <w:sz w:val="20"/>
        </w:rPr>
        <w:t>Your GitHub account must be registered with your company email address (@verivend.com / @ialta.com).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color w:val="444444"/>
          <w:sz w:val="20"/>
        </w:rPr>
        <w:t>MFA (multi-factor authentication) must be enabled on your GitHub account before you receive access.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color w:val="444444"/>
          <w:sz w:val="20"/>
        </w:rPr>
        <w:t>Repo naming convention: citizen-&lt;team&gt;-&lt;project&gt; (e.g., citizen-ops-arr-report).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color w:val="444444"/>
          <w:sz w:val="20"/>
        </w:rPr>
        <w:t>Topic tag: every repo must be tagged citizen-ai so Highlander can segment it.</w:t>
      </w:r>
    </w:p>
    <w:p>
      <w:pPr>
        <w:spacing w:before="200" w:after="60"/>
      </w:pPr>
      <w:r>
        <w:rPr>
          <w:rFonts w:ascii="Calibri" w:hAnsi="Calibri"/>
          <w:b/>
          <w:color w:val="0F1117"/>
          <w:sz w:val="21"/>
        </w:rPr>
        <w:t>METADATA.yaml in every repo</w:t>
      </w:r>
    </w:p>
    <w:p>
      <w:pPr>
        <w:spacing w:after="80"/>
        <w:ind w:left="288"/>
      </w:pPr>
      <w:r>
        <w:rPr>
          <w:rFonts w:ascii="Calibri" w:hAnsi="Calibri"/>
          <w:color w:val="444444"/>
          <w:sz w:val="20"/>
        </w:rPr>
        <w:t>Every citizen repo must contain a completed METADATA.yaml file. This is how Highlander links your work to an OKR. A repo without a completed METADATA.yaml is invisible to the program's tracking.</w:t>
      </w:r>
    </w:p>
    <w:p>
      <w:pPr>
        <w:spacing w:after="80"/>
        <w:ind w:left="288"/>
      </w:pPr>
      <w:r>
        <w:rPr>
          <w:rFonts w:ascii="Calibri" w:hAnsi="Calibri"/>
          <w:i/>
          <w:color w:val="777777"/>
          <w:sz w:val="18"/>
        </w:rPr>
        <w:t>Required fields: owner (your company email), team, okr (the OKR this work addresses), business_problem (one sentence), zone (1, 2, or 3).</w:t>
      </w:r>
    </w:p>
    <w:p>
      <w:pPr>
        <w:spacing w:before="200" w:after="60"/>
      </w:pPr>
      <w:r>
        <w:rPr>
          <w:rFonts w:ascii="Calibri" w:hAnsi="Calibri"/>
          <w:b/>
          <w:color w:val="0F1117"/>
          <w:sz w:val="21"/>
        </w:rPr>
        <w:t>Approved clients only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color w:val="444444"/>
          <w:sz w:val="20"/>
        </w:rPr>
        <w:t>Use Claude Desktop or Claude Code only for company work. Claude.ai in your browser and the Claude mobile app do not have the program's guardrails — the managed settings, the MCP allowlist, and the hooks only apply to the approved desktop clients.</w:t>
      </w:r>
    </w:p>
    <w:p>
      <w:pPr>
        <w:spacing w:before="200" w:after="60"/>
      </w:pPr>
      <w:r>
        <w:rPr>
          <w:rFonts w:ascii="Calibri" w:hAnsi="Calibri"/>
          <w:b/>
          <w:color w:val="0F1117"/>
          <w:sz w:val="21"/>
        </w:rPr>
        <w:t>MCP server policy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color w:val="444444"/>
          <w:sz w:val="20"/>
        </w:rPr>
        <w:t>Only pre-approved MCP servers may be connected. The approved list is in Section 4.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color w:val="444444"/>
          <w:sz w:val="20"/>
        </w:rPr>
        <w:t>Playwright MCP is approved — but any session using Playwright is automatically Zone 3.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color w:val="444444"/>
          <w:sz w:val="20"/>
        </w:rPr>
        <w:t>Any MCP server not on the approved list requires written approval from the program lead before first use.</w:t>
      </w:r>
    </w:p>
    <w:p>
      <w:pPr>
        <w:pStyle w:val="ListBullet"/>
        <w:spacing w:after="40" w:before="0"/>
        <w:ind w:left="360"/>
      </w:pPr>
      <w:r>
        <w:rPr>
          <w:rFonts w:ascii="Calibri" w:hAnsi="Calibri"/>
          <w:color w:val="444444"/>
          <w:sz w:val="20"/>
        </w:rPr>
        <w:t>You may not add unapproved MCP servers. This is a No-Drive Zone violation.</w:t>
      </w:r>
    </w:p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color w:val="2D6FF7"/>
          <w:sz w:val="22"/>
        </w:rPr>
        <w:t>4. APPROVED MCP SERVERS</w:t>
      </w:r>
    </w:p>
    <w:p>
      <w:pPr>
        <w:spacing w:after="80"/>
      </w:pPr>
      <w:r>
        <w:rPr>
          <w:rFonts w:ascii="Calibri" w:hAnsi="Calibri"/>
          <w:color w:val="444444"/>
          <w:sz w:val="20"/>
        </w:rPr>
        <w:t>The following MCP servers are pre-approved for citizen use. The list is maintained by the program lead and reviewed quarterly. Any server not on this list requires written approval before first 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fill="0F1117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Server</w:t>
            </w:r>
          </w:p>
        </w:tc>
        <w:tc>
          <w:tcPr>
            <w:tcW w:type="dxa" w:w="2880"/>
            <w:shd w:fill="0F1117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4997"/>
            <w:shd w:fill="0F1117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312"/>
            <w:shd w:fill="F0F4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F1117"/>
                <w:sz w:val="19"/>
              </w:rPr>
              <w:t>26 official Claude Desktop native connectors</w:t>
            </w:r>
          </w:p>
        </w:tc>
        <w:tc>
          <w:tcPr>
            <w:tcW w:type="dxa" w:w="2880"/>
            <w:shd w:fill="F0F4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D6FF7"/>
                <w:sz w:val="19"/>
              </w:rPr>
              <w:t>Anthropic-official only</w:t>
            </w:r>
          </w:p>
        </w:tc>
        <w:tc>
          <w:tcPr>
            <w:tcW w:type="dxa" w:w="4997"/>
            <w:shd w:fill="F0F4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The connectors listed in the Claude Desktop native connector list. Community-created servers are NOT included even if they appear similar. The approved list is reviewed quarterly — new additions require evaluation before use.</w:t>
            </w:r>
          </w:p>
        </w:tc>
      </w:tr>
      <w:tr>
        <w:tc>
          <w:tcPr>
            <w:tcW w:type="dxa" w:w="3312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F1117"/>
                <w:sz w:val="19"/>
              </w:rPr>
              <w:t>Highlander MCP</w:t>
            </w:r>
          </w:p>
        </w:tc>
        <w:tc>
          <w:tcPr>
            <w:tcW w:type="dxa" w:w="2880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D6FF7"/>
                <w:sz w:val="19"/>
              </w:rPr>
              <w:t>Internal (iAltA)</w:t>
            </w:r>
          </w:p>
        </w:tc>
        <w:tc>
          <w:tcPr>
            <w:tcW w:type="dxa" w:w="499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The company's internal analytics platform. Any session using Highlander is Zone 3 — it connects to live company data.</w:t>
            </w:r>
          </w:p>
        </w:tc>
      </w:tr>
      <w:tr>
        <w:tc>
          <w:tcPr>
            <w:tcW w:type="dxa" w:w="3312"/>
            <w:shd w:fill="F0F4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F1117"/>
                <w:sz w:val="19"/>
              </w:rPr>
              <w:t>Playwright MCP</w:t>
            </w:r>
          </w:p>
        </w:tc>
        <w:tc>
          <w:tcPr>
            <w:tcW w:type="dxa" w:w="2880"/>
            <w:shd w:fill="F0F4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D6FF7"/>
                <w:sz w:val="19"/>
              </w:rPr>
              <w:t>Official (Microsoft)</w:t>
            </w:r>
          </w:p>
        </w:tc>
        <w:tc>
          <w:tcPr>
            <w:tcW w:type="dxa" w:w="4997"/>
            <w:shd w:fill="F0F4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Browser automation. Approved, but ANY session using Playwright is automatically Zone 3. Be aware: malicious content on web pages you visit can attempt to inject instructions into Claude's context.</w:t>
            </w:r>
          </w:p>
        </w:tc>
      </w:tr>
    </w:tbl>
    <w:p/>
    <w:p>
      <w:pPr>
        <w:spacing w:after="80"/>
        <w:ind w:left="288"/>
      </w:pPr>
      <w:r>
        <w:rPr>
          <w:rFonts w:ascii="Calibri" w:hAnsi="Calibri"/>
          <w:i/>
          <w:color w:val="777777"/>
          <w:sz w:val="18"/>
        </w:rPr>
        <w:t>All others require written approval from the program lead (Evan) before connecting. Connecting an unapproved MCP server is a No-Drive Zone violation.</w:t>
      </w:r>
    </w:p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color w:val="2D6FF7"/>
          <w:sz w:val="22"/>
        </w:rPr>
        <w:t>5. OFFBOARDING CHECKLIST</w:t>
      </w:r>
    </w:p>
    <w:p>
      <w:pPr>
        <w:spacing w:after="80"/>
      </w:pPr>
      <w:r>
        <w:rPr>
          <w:rFonts w:ascii="Calibri" w:hAnsi="Calibri"/>
          <w:color w:val="444444"/>
          <w:sz w:val="20"/>
        </w:rPr>
        <w:t>This checklist is executed by IT and the program lead when a Citizen AI Engineer leaves the program — whether through departure, role change, license revocation, or voluntary exit. All steps must be completed within one business day of the offboarding trigger.</w:t>
      </w:r>
    </w:p>
    <w:p>
      <w:pPr>
        <w:spacing w:before="200" w:after="60"/>
      </w:pPr>
      <w:r>
        <w:rPr>
          <w:rFonts w:ascii="Calibri" w:hAnsi="Calibri"/>
          <w:b/>
          <w:color w:val="C0392B"/>
          <w:sz w:val="21"/>
        </w:rPr>
        <w:t>Access Removal</w:t>
      </w:r>
    </w:p>
    <w:p>
      <w:pPr>
        <w:spacing w:after="60" w:before="0"/>
        <w:ind w:left="288"/>
      </w:pPr>
      <w:r>
        <w:rPr>
          <w:rFonts w:ascii="Calibri" w:hAnsi="Calibri"/>
          <w:color w:val="444444"/>
          <w:sz w:val="22"/>
        </w:rPr>
        <w:t xml:space="preserve">☐  </w:t>
      </w:r>
      <w:r>
        <w:rPr>
          <w:rFonts w:ascii="Calibri" w:hAnsi="Calibri"/>
          <w:color w:val="444444"/>
          <w:sz w:val="20"/>
        </w:rPr>
        <w:t>Remove from Claude Teams org (Admin Settings &gt; Members)</w:t>
      </w:r>
    </w:p>
    <w:p>
      <w:pPr>
        <w:spacing w:after="60" w:before="0"/>
        <w:ind w:left="288"/>
      </w:pPr>
      <w:r>
        <w:rPr>
          <w:rFonts w:ascii="Calibri" w:hAnsi="Calibri"/>
          <w:color w:val="444444"/>
          <w:sz w:val="22"/>
        </w:rPr>
        <w:t xml:space="preserve">☐  </w:t>
      </w:r>
      <w:r>
        <w:rPr>
          <w:rFonts w:ascii="Calibri" w:hAnsi="Calibri"/>
          <w:color w:val="444444"/>
          <w:sz w:val="20"/>
        </w:rPr>
        <w:t>Remove from GitHub org / citizen team</w:t>
      </w:r>
    </w:p>
    <w:p>
      <w:pPr>
        <w:spacing w:after="60" w:before="0"/>
        <w:ind w:left="288"/>
      </w:pPr>
      <w:r>
        <w:rPr>
          <w:rFonts w:ascii="Calibri" w:hAnsi="Calibri"/>
          <w:color w:val="444444"/>
          <w:sz w:val="22"/>
        </w:rPr>
        <w:t xml:space="preserve">☐  </w:t>
      </w:r>
      <w:r>
        <w:rPr>
          <w:rFonts w:ascii="Calibri" w:hAnsi="Calibri"/>
          <w:color w:val="444444"/>
          <w:sz w:val="20"/>
        </w:rPr>
        <w:t>Confirm no active Claude API keys or tokens associated with the account</w:t>
      </w:r>
    </w:p>
    <w:p>
      <w:pPr>
        <w:spacing w:before="200" w:after="60"/>
      </w:pPr>
      <w:r>
        <w:rPr>
          <w:rFonts w:ascii="Calibri" w:hAnsi="Calibri"/>
          <w:b/>
          <w:color w:val="1A48BB"/>
          <w:sz w:val="21"/>
        </w:rPr>
        <w:t>Repo Continuity</w:t>
      </w:r>
    </w:p>
    <w:p>
      <w:pPr>
        <w:spacing w:after="60" w:before="0"/>
        <w:ind w:left="288"/>
      </w:pPr>
      <w:r>
        <w:rPr>
          <w:rFonts w:ascii="Calibri" w:hAnsi="Calibri"/>
          <w:color w:val="444444"/>
          <w:sz w:val="22"/>
        </w:rPr>
        <w:t xml:space="preserve">☐  </w:t>
      </w:r>
      <w:r>
        <w:rPr>
          <w:rFonts w:ascii="Calibri" w:hAnsi="Calibri"/>
          <w:color w:val="444444"/>
          <w:sz w:val="20"/>
        </w:rPr>
        <w:t>Transfer ownership of all citizen repos to the program lead or a designated successor</w:t>
      </w:r>
    </w:p>
    <w:p>
      <w:pPr>
        <w:spacing w:after="60" w:before="0"/>
        <w:ind w:left="288"/>
      </w:pPr>
      <w:r>
        <w:rPr>
          <w:rFonts w:ascii="Calibri" w:hAnsi="Calibri"/>
          <w:color w:val="444444"/>
          <w:sz w:val="22"/>
        </w:rPr>
        <w:t xml:space="preserve">☐  </w:t>
      </w:r>
      <w:r>
        <w:rPr>
          <w:rFonts w:ascii="Calibri" w:hAnsi="Calibri"/>
          <w:color w:val="444444"/>
          <w:sz w:val="20"/>
        </w:rPr>
        <w:t>Resolve or hand off all open pull requests</w:t>
      </w:r>
    </w:p>
    <w:p>
      <w:pPr>
        <w:spacing w:after="60" w:before="0"/>
        <w:ind w:left="288"/>
      </w:pPr>
      <w:r>
        <w:rPr>
          <w:rFonts w:ascii="Calibri" w:hAnsi="Calibri"/>
          <w:color w:val="444444"/>
          <w:sz w:val="22"/>
        </w:rPr>
        <w:t xml:space="preserve">☐  </w:t>
      </w:r>
      <w:r>
        <w:rPr>
          <w:rFonts w:ascii="Calibri" w:hAnsi="Calibri"/>
          <w:color w:val="444444"/>
          <w:sz w:val="20"/>
        </w:rPr>
        <w:t>Archive repos if no active successor will continue the work</w:t>
      </w:r>
    </w:p>
    <w:p>
      <w:pPr>
        <w:spacing w:after="60" w:before="0"/>
        <w:ind w:left="288"/>
      </w:pPr>
      <w:r>
        <w:rPr>
          <w:rFonts w:ascii="Calibri" w:hAnsi="Calibri"/>
          <w:color w:val="444444"/>
          <w:sz w:val="22"/>
        </w:rPr>
        <w:t xml:space="preserve">☐  </w:t>
      </w:r>
      <w:r>
        <w:rPr>
          <w:rFonts w:ascii="Calibri" w:hAnsi="Calibri"/>
          <w:color w:val="444444"/>
          <w:sz w:val="20"/>
        </w:rPr>
        <w:t>Confirm METADATA.yaml owner field is updated to the new owner's email</w:t>
      </w:r>
    </w:p>
    <w:p>
      <w:pPr>
        <w:spacing w:before="200" w:after="60"/>
      </w:pPr>
      <w:r>
        <w:rPr>
          <w:rFonts w:ascii="Calibri" w:hAnsi="Calibri"/>
          <w:b/>
          <w:color w:val="1A7A3E"/>
          <w:sz w:val="21"/>
        </w:rPr>
        <w:t>Tracking &amp; Certification</w:t>
      </w:r>
    </w:p>
    <w:p>
      <w:pPr>
        <w:spacing w:after="60" w:before="0"/>
        <w:ind w:left="288"/>
      </w:pPr>
      <w:r>
        <w:rPr>
          <w:rFonts w:ascii="Calibri" w:hAnsi="Calibri"/>
          <w:color w:val="444444"/>
          <w:sz w:val="22"/>
        </w:rPr>
        <w:t xml:space="preserve">☐  </w:t>
      </w:r>
      <w:r>
        <w:rPr>
          <w:rFonts w:ascii="Calibri" w:hAnsi="Calibri"/>
          <w:color w:val="444444"/>
          <w:sz w:val="20"/>
        </w:rPr>
        <w:t>Remove from Highlander engineer_email_mapping table</w:t>
      </w:r>
    </w:p>
    <w:p>
      <w:pPr>
        <w:spacing w:after="60" w:before="0"/>
        <w:ind w:left="288"/>
      </w:pPr>
      <w:r>
        <w:rPr>
          <w:rFonts w:ascii="Calibri" w:hAnsi="Calibri"/>
          <w:color w:val="444444"/>
          <w:sz w:val="22"/>
        </w:rPr>
        <w:t xml:space="preserve">☐  </w:t>
      </w:r>
      <w:r>
        <w:rPr>
          <w:rFonts w:ascii="Calibri" w:hAnsi="Calibri"/>
          <w:color w:val="444444"/>
          <w:sz w:val="20"/>
        </w:rPr>
        <w:t>Mark certification as inactive in the Microsoft Forms completion tracker (Excel)</w:t>
      </w:r>
    </w:p>
    <w:p>
      <w:pPr>
        <w:spacing w:after="60" w:before="0"/>
        <w:ind w:left="288"/>
      </w:pPr>
      <w:r>
        <w:rPr>
          <w:rFonts w:ascii="Calibri" w:hAnsi="Calibri"/>
          <w:color w:val="444444"/>
          <w:sz w:val="22"/>
        </w:rPr>
        <w:t xml:space="preserve">☐  </w:t>
      </w:r>
      <w:r>
        <w:rPr>
          <w:rFonts w:ascii="Calibri" w:hAnsi="Calibri"/>
          <w:color w:val="444444"/>
          <w:sz w:val="20"/>
        </w:rPr>
        <w:t>Note departure date in the program participation log</w:t>
      </w:r>
    </w:p>
    <w:p>
      <w:pPr>
        <w:spacing w:before="200" w:after="60"/>
      </w:pPr>
      <w:r>
        <w:rPr>
          <w:rFonts w:ascii="Calibri" w:hAnsi="Calibri"/>
          <w:b/>
          <w:color w:val="777777"/>
          <w:sz w:val="21"/>
        </w:rPr>
        <w:t>Confirmation</w:t>
      </w:r>
    </w:p>
    <w:p>
      <w:pPr>
        <w:spacing w:after="60" w:before="0"/>
        <w:ind w:left="288"/>
      </w:pPr>
      <w:r>
        <w:rPr>
          <w:rFonts w:ascii="Calibri" w:hAnsi="Calibri"/>
          <w:color w:val="444444"/>
          <w:sz w:val="22"/>
        </w:rPr>
        <w:t xml:space="preserve">☐  </w:t>
      </w:r>
      <w:r>
        <w:rPr>
          <w:rFonts w:ascii="Calibri" w:hAnsi="Calibri"/>
          <w:b/>
          <w:color w:val="0F1117"/>
          <w:sz w:val="20"/>
        </w:rPr>
        <w:t xml:space="preserve">Sign-off: </w:t>
      </w:r>
      <w:r>
        <w:rPr>
          <w:rFonts w:ascii="Calibri" w:hAnsi="Calibri"/>
          <w:color w:val="444444"/>
          <w:sz w:val="20"/>
        </w:rPr>
        <w:t>Confirm all steps above are complete</w:t>
      </w:r>
    </w:p>
    <w:p>
      <w:pPr>
        <w:spacing w:after="80"/>
        <w:ind w:left="288"/>
      </w:pPr>
      <w:r>
        <w:rPr>
          <w:rFonts w:ascii="Calibri" w:hAnsi="Calibri"/>
          <w:i/>
          <w:color w:val="777777"/>
          <w:sz w:val="18"/>
        </w:rPr>
        <w:t>Completed by:  ________________   Date:  ________________   Verified by:  ________________</w:t>
      </w:r>
    </w:p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color w:val="2D6FF7"/>
          <w:sz w:val="22"/>
        </w:rPr>
        <w:t>6. INCIDENT RESPONSE — WHAT TO DO IF SOMETHING GOES WRONG</w:t>
      </w:r>
    </w:p>
    <w:p>
      <w:pPr>
        <w:spacing w:after="80"/>
      </w:pPr>
      <w:r>
        <w:rPr>
          <w:rFonts w:ascii="Calibri" w:hAnsi="Calibri"/>
          <w:color w:val="444444"/>
          <w:sz w:val="20"/>
        </w:rPr>
        <w:t>An AI incident includes: accidentally pasting confidential data or PII into Claude, discovering that a session produced output containing sensitive information, unexpected AI behavior (Claude taking actions you didn't request), or any suspicion that a policy violation occurred. The AUP (Section 13) governs the full investigation process. Here is what you do immediately:</w:t>
      </w:r>
    </w:p>
    <w:p>
      <w:pPr>
        <w:spacing w:after="60" w:before="0"/>
        <w:ind w:left="360"/>
      </w:pPr>
      <w:r>
        <w:rPr>
          <w:rFonts w:ascii="Calibri" w:hAnsi="Calibri"/>
          <w:b/>
          <w:color w:val="2D6FF7"/>
          <w:sz w:val="20"/>
        </w:rPr>
        <w:t xml:space="preserve">1.  </w:t>
      </w:r>
      <w:r>
        <w:rPr>
          <w:rFonts w:ascii="Calibri" w:hAnsi="Calibri"/>
          <w:b/>
          <w:color w:val="0F1117"/>
          <w:sz w:val="20"/>
        </w:rPr>
        <w:t xml:space="preserve">Stop. </w:t>
      </w:r>
      <w:r>
        <w:rPr>
          <w:rFonts w:ascii="Calibri" w:hAnsi="Calibri"/>
          <w:color w:val="444444"/>
          <w:sz w:val="20"/>
        </w:rPr>
        <w:t>Stop what you're doing. Do not continue the session.</w:t>
      </w:r>
    </w:p>
    <w:p>
      <w:pPr>
        <w:spacing w:after="60" w:before="0"/>
        <w:ind w:left="360"/>
      </w:pPr>
      <w:r>
        <w:rPr>
          <w:rFonts w:ascii="Calibri" w:hAnsi="Calibri"/>
          <w:b/>
          <w:color w:val="2D6FF7"/>
          <w:sz w:val="20"/>
        </w:rPr>
        <w:t xml:space="preserve">2.  </w:t>
      </w:r>
      <w:r>
        <w:rPr>
          <w:rFonts w:ascii="Calibri" w:hAnsi="Calibri"/>
          <w:b/>
          <w:color w:val="0F1117"/>
          <w:sz w:val="20"/>
        </w:rPr>
        <w:t xml:space="preserve">Preserve. </w:t>
      </w:r>
      <w:r>
        <w:rPr>
          <w:rFonts w:ascii="Calibri" w:hAnsi="Calibri"/>
          <w:color w:val="444444"/>
          <w:sz w:val="20"/>
        </w:rPr>
        <w:t>Do not delete anything. Do not close the conversation, delete prompts, or clear outputs. Evidence must be preserved exactly as it is.</w:t>
      </w:r>
    </w:p>
    <w:p>
      <w:pPr>
        <w:spacing w:after="60" w:before="0"/>
        <w:ind w:left="360"/>
      </w:pPr>
      <w:r>
        <w:rPr>
          <w:rFonts w:ascii="Calibri" w:hAnsi="Calibri"/>
          <w:b/>
          <w:color w:val="2D6FF7"/>
          <w:sz w:val="20"/>
        </w:rPr>
        <w:t xml:space="preserve">3.  </w:t>
      </w:r>
      <w:r>
        <w:rPr>
          <w:rFonts w:ascii="Calibri" w:hAnsi="Calibri"/>
          <w:b/>
          <w:color w:val="0F1117"/>
          <w:sz w:val="20"/>
        </w:rPr>
        <w:t xml:space="preserve">Report. </w:t>
      </w:r>
      <w:r>
        <w:rPr>
          <w:rFonts w:ascii="Calibri" w:hAnsi="Calibri"/>
          <w:color w:val="444444"/>
          <w:sz w:val="20"/>
        </w:rPr>
        <w:t>Contact IT Security and the program lead (Evan) within the same business day. Do not wait to see if it becomes a problem.</w:t>
      </w:r>
    </w:p>
    <w:p>
      <w:pPr>
        <w:spacing w:after="60" w:before="0"/>
        <w:ind w:left="360"/>
      </w:pPr>
      <w:r>
        <w:rPr>
          <w:rFonts w:ascii="Calibri" w:hAnsi="Calibri"/>
          <w:b/>
          <w:color w:val="2D6FF7"/>
          <w:sz w:val="20"/>
        </w:rPr>
        <w:t xml:space="preserve">4.  </w:t>
      </w:r>
      <w:r>
        <w:rPr>
          <w:rFonts w:ascii="Calibri" w:hAnsi="Calibri"/>
          <w:b/>
          <w:color w:val="0F1117"/>
          <w:sz w:val="20"/>
        </w:rPr>
        <w:t xml:space="preserve">Cooperate. </w:t>
      </w:r>
      <w:r>
        <w:rPr>
          <w:rFonts w:ascii="Calibri" w:hAnsi="Calibri"/>
          <w:color w:val="444444"/>
          <w:sz w:val="20"/>
        </w:rPr>
        <w:t>IT Security leads the investigation. Your job is to cooperate fully and make yourself available.</w:t>
      </w:r>
    </w:p>
    <w:p>
      <w:pPr>
        <w:spacing w:after="60" w:before="0"/>
        <w:ind w:left="360"/>
      </w:pPr>
      <w:r>
        <w:rPr>
          <w:rFonts w:ascii="Calibri" w:hAnsi="Calibri"/>
          <w:b/>
          <w:color w:val="2D6FF7"/>
          <w:sz w:val="20"/>
        </w:rPr>
        <w:t xml:space="preserve">5.  </w:t>
      </w:r>
      <w:r>
        <w:rPr>
          <w:rFonts w:ascii="Calibri" w:hAnsi="Calibri"/>
          <w:b/>
          <w:color w:val="0F1117"/>
          <w:sz w:val="20"/>
        </w:rPr>
        <w:t xml:space="preserve">Safe to report. </w:t>
      </w:r>
      <w:r>
        <w:rPr>
          <w:rFonts w:ascii="Calibri" w:hAnsi="Calibri"/>
          <w:color w:val="444444"/>
          <w:sz w:val="20"/>
        </w:rPr>
        <w:t>No retaliation for reporting in good faith. You will not be penalized for surfacing a concern promptly.</w:t>
      </w:r>
    </w:p>
    <w:p/>
    <w:p>
      <w:pPr>
        <w:spacing w:after="80"/>
      </w:pPr>
      <w:r>
        <w:rPr>
          <w:rFonts w:ascii="Calibri" w:hAnsi="Calibri"/>
          <w:color w:val="444444"/>
          <w:sz w:val="20"/>
        </w:rPr>
        <w:t>Violations are handled per the AUP graduated framework: minor violations result in retraining; repeated or careless violations result in temporary access restriction; serious violations result in full access suspension; severe or intentional violations may result in termination and legal action. A No-Drive Zone violation triggers immediate license suspension pending investigation.</w:t>
      </w:r>
    </w:p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color w:val="2D6FF7"/>
          <w:sz w:val="22"/>
        </w:rPr>
        <w:t>7. ACKNOWLEDGMENT &amp; SIGNATURE</w:t>
      </w:r>
    </w:p>
    <w:p>
      <w:pPr>
        <w:spacing w:after="80"/>
      </w:pPr>
      <w:r>
        <w:rPr>
          <w:rFonts w:ascii="Calibri" w:hAnsi="Calibri"/>
          <w:color w:val="444444"/>
          <w:sz w:val="20"/>
        </w:rPr>
        <w:t>By signing below, you confirm that you have read and understood this document in full, and that you agree to the obligations and procedures it contains.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616"/>
            <w:shd w:fill="F0F4FF" w:val="clear"/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22"/>
              </w:rPr>
              <w:t xml:space="preserve">☐  </w:t>
            </w:r>
            <w:r>
              <w:rPr>
                <w:rFonts w:ascii="Calibri" w:hAnsi="Calibri"/>
                <w:color w:val="444444"/>
                <w:sz w:val="19"/>
              </w:rPr>
              <w:t>I have read and understood the company-wide AI Acceptable Use Policy (v2.0).</w:t>
            </w:r>
          </w:p>
        </w:tc>
        <w:tc>
          <w:tcPr>
            <w:tcW w:type="dxa" w:w="5573"/>
            <w:shd w:fill="F0F4FF" w:val="clear"/>
          </w:tcPr>
          <w:p>
            <w:r/>
          </w:p>
        </w:tc>
      </w:tr>
      <w:tr>
        <w:tc>
          <w:tcPr>
            <w:tcW w:type="dxa" w:w="5616"/>
            <w:shd w:fill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22"/>
              </w:rPr>
              <w:t xml:space="preserve">☐  </w:t>
            </w:r>
            <w:r>
              <w:rPr>
                <w:rFonts w:ascii="Calibri" w:hAnsi="Calibri"/>
                <w:color w:val="444444"/>
                <w:sz w:val="19"/>
              </w:rPr>
              <w:t>I have completed the Citizen AI Engineer certification course and passed the final exam.</w:t>
            </w:r>
          </w:p>
        </w:tc>
        <w:tc>
          <w:tcPr>
            <w:tcW w:type="dxa" w:w="5573"/>
            <w:shd w:fill="FFFFFF" w:val="clear"/>
          </w:tcPr>
          <w:p>
            <w:r/>
          </w:p>
        </w:tc>
      </w:tr>
      <w:tr>
        <w:tc>
          <w:tcPr>
            <w:tcW w:type="dxa" w:w="5616"/>
            <w:shd w:fill="F0F4FF" w:val="clear"/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22"/>
              </w:rPr>
              <w:t xml:space="preserve">☐  </w:t>
            </w:r>
            <w:r>
              <w:rPr>
                <w:rFonts w:ascii="Calibri" w:hAnsi="Calibri"/>
                <w:color w:val="444444"/>
                <w:sz w:val="19"/>
              </w:rPr>
              <w:t>I understand the Driving Zones model and will correctly classify my work before starting any session.</w:t>
            </w:r>
          </w:p>
        </w:tc>
        <w:tc>
          <w:tcPr>
            <w:tcW w:type="dxa" w:w="5573"/>
            <w:shd w:fill="F0F4FF" w:val="clear"/>
          </w:tcPr>
          <w:p>
            <w:r/>
          </w:p>
        </w:tc>
      </w:tr>
      <w:tr>
        <w:tc>
          <w:tcPr>
            <w:tcW w:type="dxa" w:w="5616"/>
            <w:shd w:fill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22"/>
              </w:rPr>
              <w:t xml:space="preserve">☐  </w:t>
            </w:r>
            <w:r>
              <w:rPr>
                <w:rFonts w:ascii="Calibri" w:hAnsi="Calibri"/>
                <w:color w:val="444444"/>
                <w:sz w:val="19"/>
              </w:rPr>
              <w:t>I understand that all company AI work must be done in Claude Desktop or Claude Code — not Claude.ai web or mobile.</w:t>
            </w:r>
          </w:p>
        </w:tc>
        <w:tc>
          <w:tcPr>
            <w:tcW w:type="dxa" w:w="5573"/>
            <w:shd w:fill="FFFFFF" w:val="clear"/>
          </w:tcPr>
          <w:p>
            <w:r/>
          </w:p>
        </w:tc>
      </w:tr>
      <w:tr>
        <w:tc>
          <w:tcPr>
            <w:tcW w:type="dxa" w:w="5616"/>
            <w:shd w:fill="F0F4FF" w:val="clear"/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22"/>
              </w:rPr>
              <w:t xml:space="preserve">☐  </w:t>
            </w:r>
            <w:r>
              <w:rPr>
                <w:rFonts w:ascii="Calibri" w:hAnsi="Calibri"/>
                <w:color w:val="444444"/>
                <w:sz w:val="19"/>
              </w:rPr>
              <w:t>I will commit all AI-assisted work to my GitHub repo. No local-only work.</w:t>
            </w:r>
          </w:p>
        </w:tc>
        <w:tc>
          <w:tcPr>
            <w:tcW w:type="dxa" w:w="5573"/>
            <w:shd w:fill="F0F4FF" w:val="clear"/>
          </w:tcPr>
          <w:p>
            <w:r/>
          </w:p>
        </w:tc>
      </w:tr>
      <w:tr>
        <w:tc>
          <w:tcPr>
            <w:tcW w:type="dxa" w:w="5616"/>
            <w:shd w:fill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22"/>
              </w:rPr>
              <w:t xml:space="preserve">☐  </w:t>
            </w:r>
            <w:r>
              <w:rPr>
                <w:rFonts w:ascii="Calibri" w:hAnsi="Calibri"/>
                <w:color w:val="444444"/>
                <w:sz w:val="19"/>
              </w:rPr>
              <w:t>I will never input credentials, API keys, secrets, or passwords into Claude under any circumstances.</w:t>
            </w:r>
          </w:p>
        </w:tc>
        <w:tc>
          <w:tcPr>
            <w:tcW w:type="dxa" w:w="5573"/>
            <w:shd w:fill="FFFFFF" w:val="clear"/>
          </w:tcPr>
          <w:p>
            <w:r/>
          </w:p>
        </w:tc>
      </w:tr>
      <w:tr>
        <w:tc>
          <w:tcPr>
            <w:tcW w:type="dxa" w:w="5616"/>
            <w:shd w:fill="F0F4FF" w:val="clear"/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22"/>
              </w:rPr>
              <w:t xml:space="preserve">☐  </w:t>
            </w:r>
            <w:r>
              <w:rPr>
                <w:rFonts w:ascii="Calibri" w:hAnsi="Calibri"/>
                <w:color w:val="444444"/>
                <w:sz w:val="19"/>
              </w:rPr>
              <w:t>I understand that my commit activity is tracked by Highlander and attributed to my OKRs.</w:t>
            </w:r>
          </w:p>
        </w:tc>
        <w:tc>
          <w:tcPr>
            <w:tcW w:type="dxa" w:w="5573"/>
            <w:shd w:fill="F0F4FF" w:val="clear"/>
          </w:tcPr>
          <w:p>
            <w:r/>
          </w:p>
        </w:tc>
      </w:tr>
      <w:tr>
        <w:tc>
          <w:tcPr>
            <w:tcW w:type="dxa" w:w="5616"/>
            <w:shd w:fill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color w:val="444444"/>
                <w:sz w:val="22"/>
              </w:rPr>
              <w:t xml:space="preserve">☐  </w:t>
            </w:r>
            <w:r>
              <w:rPr>
                <w:rFonts w:ascii="Calibri" w:hAnsi="Calibri"/>
                <w:color w:val="444444"/>
                <w:sz w:val="19"/>
              </w:rPr>
              <w:t>I understand that a No-Drive Zone violation results in immediate license suspension pending review, and may result in permanent revocation.</w:t>
            </w:r>
          </w:p>
        </w:tc>
        <w:tc>
          <w:tcPr>
            <w:tcW w:type="dxa" w:w="5573"/>
            <w:shd w:fill="FFFFFF" w:val="clear"/>
          </w:tcPr>
          <w:p>
            <w:r/>
          </w:p>
        </w:tc>
      </w:tr>
      <w:tr>
        <w:tc>
          <w:tcPr>
            <w:tcW w:type="dxa" w:w="5616"/>
            <w:shd w:fill="EEF2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Full Name:  _______________________________</w:t>
              <w:br/>
              <w:br/>
              <w:t>Team / Department:  _______________________________</w:t>
            </w:r>
          </w:p>
        </w:tc>
        <w:tc>
          <w:tcPr>
            <w:tcW w:type="dxa" w:w="5573"/>
            <w:shd w:fill="EEF2FF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Signature:  _______________________________</w:t>
              <w:br/>
              <w:br/>
              <w:t>Date:  _______________________________</w:t>
            </w:r>
          </w:p>
        </w:tc>
      </w:tr>
    </w:tbl>
    <w:p/>
    <w:p>
      <w:pPr>
        <w:spacing w:after="80"/>
        <w:ind w:left="288"/>
      </w:pPr>
      <w:r>
        <w:rPr>
          <w:rFonts w:ascii="Calibri" w:hAnsi="Calibri"/>
          <w:i/>
          <w:color w:val="777777"/>
          <w:sz w:val="18"/>
        </w:rPr>
        <w:t>Return this signed document to the program lead (Evan) upon completion of the certification course. License access is granted after receipt of this signed agreement and confirmation of course completion.</w:t>
      </w:r>
    </w:p>
    <w:p>
      <w:pPr>
        <w:spacing w:before="160"/>
      </w:pPr>
      <w:r>
        <w:rPr>
          <w:rFonts w:ascii="Calibri" w:hAnsi="Calibri"/>
          <w:i/>
          <w:color w:val="777777"/>
          <w:sz w:val="17"/>
        </w:rPr>
        <w:t>Citizen AI Engineer Program  ·  Policies, Procedures &amp; Agreements  ·  Companion to: Corporate AI Use Policy v2.0  ·  iAltA Private Markets / Verivend Inc.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