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Claude Teams vs Enterprise: Feature &amp; Compliance Comparison</w:t>
      </w:r>
    </w:p>
    <w:p>
      <w:r>
        <w:t>Prepared for iAltA | March 2026 | All sources from official Anthropic documentation</w:t>
      </w:r>
    </w:p>
    <w:p>
      <w:pPr>
        <w:pStyle w:val="Heading2"/>
      </w:pPr>
      <w:r>
        <w:t>1. Feature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fill="1a1a2e" w:val="clear"/>
          </w:tcPr>
          <w:p>
            <w:r/>
            <w:r>
              <w:rPr>
                <w:b/>
                <w:color w:val="FFFFFF"/>
                <w:sz w:val="18"/>
              </w:rPr>
              <w:t>Feature</w:t>
            </w:r>
          </w:p>
        </w:tc>
        <w:tc>
          <w:tcPr>
            <w:tcW w:type="dxa" w:w="2304"/>
            <w:shd w:fill="1a1a2e" w:val="clear"/>
          </w:tcPr>
          <w:p>
            <w:r/>
            <w:r>
              <w:rPr>
                <w:b/>
                <w:color w:val="FFFFFF"/>
                <w:sz w:val="18"/>
              </w:rPr>
              <w:t>Teams</w:t>
            </w:r>
          </w:p>
        </w:tc>
        <w:tc>
          <w:tcPr>
            <w:tcW w:type="dxa" w:w="3024"/>
            <w:shd w:fill="1a1a2e" w:val="clear"/>
          </w:tcPr>
          <w:p>
            <w:r/>
            <w:r>
              <w:rPr>
                <w:b/>
                <w:color w:val="FFFFFF"/>
                <w:sz w:val="18"/>
              </w:rPr>
              <w:t>Enterprise</w:t>
            </w:r>
          </w:p>
        </w:tc>
      </w:tr>
      <w:tr>
        <w:tc>
          <w:tcPr>
            <w:tcW w:type="dxa" w:w="4032"/>
            <w:shd w:fill="f0f4ff" w:val="clear"/>
          </w:tcPr>
          <w:p>
            <w:r/>
            <w:r>
              <w:rPr>
                <w:sz w:val="18"/>
              </w:rPr>
              <w:t>SSO (Single Sign-On)</w:t>
            </w:r>
          </w:p>
        </w:tc>
        <w:tc>
          <w:tcPr>
            <w:tcW w:type="dxa" w:w="2304"/>
            <w:shd w:fill="f0f4ff" w:val="clear"/>
          </w:tcPr>
          <w:p>
            <w:r/>
            <w:r>
              <w:rPr>
                <w:sz w:val="18"/>
              </w:rPr>
              <w:t>Yes</w:t>
            </w:r>
          </w:p>
        </w:tc>
        <w:tc>
          <w:tcPr>
            <w:tcW w:type="dxa" w:w="3024"/>
            <w:shd w:fill="f0f4ff" w:val="clear"/>
          </w:tcPr>
          <w:p>
            <w:r/>
            <w:r>
              <w:rPr>
                <w:sz w:val="18"/>
              </w:rPr>
              <w:t>Yes (SAML 2.0/OIDC)</w:t>
            </w:r>
          </w:p>
        </w:tc>
      </w:tr>
      <w:tr>
        <w:tc>
          <w:tcPr>
            <w:tcW w:type="dxa" w:w="4032"/>
          </w:tcPr>
          <w:p>
            <w:r/>
            <w:r>
              <w:rPr>
                <w:sz w:val="18"/>
              </w:rPr>
              <w:t>Domain Capture</w:t>
            </w:r>
          </w:p>
        </w:tc>
        <w:tc>
          <w:tcPr>
            <w:tcW w:type="dxa" w:w="2304"/>
          </w:tcPr>
          <w:p>
            <w:r/>
            <w:r>
              <w:rPr>
                <w:sz w:val="18"/>
              </w:rPr>
              <w:t>Yes</w:t>
            </w:r>
          </w:p>
        </w:tc>
        <w:tc>
          <w:tcPr>
            <w:tcW w:type="dxa" w:w="3024"/>
          </w:tcPr>
          <w:p>
            <w:r/>
            <w:r>
              <w:rPr>
                <w:sz w:val="18"/>
              </w:rPr>
              <w:t>Yes</w:t>
            </w:r>
          </w:p>
        </w:tc>
      </w:tr>
      <w:tr>
        <w:tc>
          <w:tcPr>
            <w:tcW w:type="dxa" w:w="4032"/>
            <w:shd w:fill="f0f4ff" w:val="clear"/>
          </w:tcPr>
          <w:p>
            <w:r/>
            <w:r>
              <w:rPr>
                <w:sz w:val="18"/>
              </w:rPr>
              <w:t>JIT Provisioning</w:t>
            </w:r>
          </w:p>
        </w:tc>
        <w:tc>
          <w:tcPr>
            <w:tcW w:type="dxa" w:w="2304"/>
            <w:shd w:fill="f0f4ff" w:val="clear"/>
          </w:tcPr>
          <w:p>
            <w:r/>
            <w:r>
              <w:rPr>
                <w:sz w:val="18"/>
              </w:rPr>
              <w:t>Yes</w:t>
            </w:r>
          </w:p>
        </w:tc>
        <w:tc>
          <w:tcPr>
            <w:tcW w:type="dxa" w:w="3024"/>
            <w:shd w:fill="f0f4ff" w:val="clear"/>
          </w:tcPr>
          <w:p>
            <w:r/>
            <w:r>
              <w:rPr>
                <w:sz w:val="18"/>
              </w:rPr>
              <w:t>Yes</w:t>
            </w:r>
          </w:p>
        </w:tc>
      </w:tr>
      <w:tr>
        <w:tc>
          <w:tcPr>
            <w:tcW w:type="dxa" w:w="4032"/>
          </w:tcPr>
          <w:p>
            <w:r/>
            <w:r>
              <w:rPr>
                <w:sz w:val="18"/>
              </w:rPr>
              <w:t>SCIM Provisioning</w:t>
            </w:r>
          </w:p>
        </w:tc>
        <w:tc>
          <w:tcPr>
            <w:tcW w:type="dxa" w:w="2304"/>
          </w:tcPr>
          <w:p>
            <w:r/>
            <w:r>
              <w:rPr>
                <w:sz w:val="18"/>
              </w:rPr>
              <w:t>No</w:t>
            </w:r>
          </w:p>
        </w:tc>
        <w:tc>
          <w:tcPr>
            <w:tcW w:type="dxa" w:w="3024"/>
          </w:tcPr>
          <w:p>
            <w:r/>
            <w:r>
              <w:rPr>
                <w:sz w:val="18"/>
              </w:rPr>
              <w:t>Yes</w:t>
            </w:r>
          </w:p>
        </w:tc>
      </w:tr>
      <w:tr>
        <w:tc>
          <w:tcPr>
            <w:tcW w:type="dxa" w:w="4032"/>
            <w:shd w:fill="f0f4ff" w:val="clear"/>
          </w:tcPr>
          <w:p>
            <w:r/>
            <w:r>
              <w:rPr>
                <w:sz w:val="18"/>
              </w:rPr>
              <w:t>Role-Based Permissioning</w:t>
            </w:r>
          </w:p>
        </w:tc>
        <w:tc>
          <w:tcPr>
            <w:tcW w:type="dxa" w:w="2304"/>
            <w:shd w:fill="f0f4ff" w:val="clear"/>
          </w:tcPr>
          <w:p>
            <w:r/>
            <w:r>
              <w:rPr>
                <w:sz w:val="18"/>
              </w:rPr>
              <w:t>Basic</w:t>
            </w:r>
          </w:p>
        </w:tc>
        <w:tc>
          <w:tcPr>
            <w:tcW w:type="dxa" w:w="3024"/>
            <w:shd w:fill="f0f4ff" w:val="clear"/>
          </w:tcPr>
          <w:p>
            <w:r/>
            <w:r>
              <w:rPr>
                <w:sz w:val="18"/>
              </w:rPr>
              <w:t>Fine-grained</w:t>
            </w:r>
          </w:p>
        </w:tc>
      </w:tr>
      <w:tr>
        <w:tc>
          <w:tcPr>
            <w:tcW w:type="dxa" w:w="4032"/>
          </w:tcPr>
          <w:p>
            <w:r/>
            <w:r>
              <w:rPr>
                <w:sz w:val="18"/>
              </w:rPr>
              <w:t>Audit Logs</w:t>
            </w:r>
          </w:p>
        </w:tc>
        <w:tc>
          <w:tcPr>
            <w:tcW w:type="dxa" w:w="2304"/>
          </w:tcPr>
          <w:p>
            <w:r/>
            <w:r>
              <w:rPr>
                <w:sz w:val="18"/>
              </w:rPr>
              <w:t>No</w:t>
            </w:r>
          </w:p>
        </w:tc>
        <w:tc>
          <w:tcPr>
            <w:tcW w:type="dxa" w:w="3024"/>
          </w:tcPr>
          <w:p>
            <w:r/>
            <w:r>
              <w:rPr>
                <w:sz w:val="18"/>
              </w:rPr>
              <w:t>Yes (SIEM export)</w:t>
            </w:r>
          </w:p>
        </w:tc>
      </w:tr>
      <w:tr>
        <w:tc>
          <w:tcPr>
            <w:tcW w:type="dxa" w:w="4032"/>
            <w:shd w:fill="f0f4ff" w:val="clear"/>
          </w:tcPr>
          <w:p>
            <w:r/>
            <w:r>
              <w:rPr>
                <w:sz w:val="18"/>
              </w:rPr>
              <w:t>Compliance API</w:t>
            </w:r>
          </w:p>
        </w:tc>
        <w:tc>
          <w:tcPr>
            <w:tcW w:type="dxa" w:w="2304"/>
            <w:shd w:fill="f0f4ff" w:val="clear"/>
          </w:tcPr>
          <w:p>
            <w:r/>
            <w:r>
              <w:rPr>
                <w:sz w:val="18"/>
              </w:rPr>
              <w:t>No</w:t>
            </w:r>
          </w:p>
        </w:tc>
        <w:tc>
          <w:tcPr>
            <w:tcW w:type="dxa" w:w="3024"/>
            <w:shd w:fill="f0f4ff" w:val="clear"/>
          </w:tcPr>
          <w:p>
            <w:r/>
            <w:r>
              <w:rPr>
                <w:sz w:val="18"/>
              </w:rPr>
              <w:t>Yes</w:t>
            </w:r>
          </w:p>
        </w:tc>
      </w:tr>
      <w:tr>
        <w:tc>
          <w:tcPr>
            <w:tcW w:type="dxa" w:w="4032"/>
          </w:tcPr>
          <w:p>
            <w:r/>
            <w:r>
              <w:rPr>
                <w:sz w:val="18"/>
              </w:rPr>
              <w:t>Analytics API</w:t>
            </w:r>
          </w:p>
        </w:tc>
        <w:tc>
          <w:tcPr>
            <w:tcW w:type="dxa" w:w="2304"/>
          </w:tcPr>
          <w:p>
            <w:r/>
            <w:r>
              <w:rPr>
                <w:sz w:val="18"/>
              </w:rPr>
              <w:t>No</w:t>
            </w:r>
          </w:p>
        </w:tc>
        <w:tc>
          <w:tcPr>
            <w:tcW w:type="dxa" w:w="3024"/>
          </w:tcPr>
          <w:p>
            <w:r/>
            <w:r>
              <w:rPr>
                <w:sz w:val="18"/>
              </w:rPr>
              <w:t>Yes</w:t>
            </w:r>
          </w:p>
        </w:tc>
      </w:tr>
      <w:tr>
        <w:tc>
          <w:tcPr>
            <w:tcW w:type="dxa" w:w="4032"/>
            <w:shd w:fill="f0f4ff" w:val="clear"/>
          </w:tcPr>
          <w:p>
            <w:r/>
            <w:r>
              <w:rPr>
                <w:sz w:val="18"/>
              </w:rPr>
              <w:t>Custom Data Retention</w:t>
            </w:r>
          </w:p>
        </w:tc>
        <w:tc>
          <w:tcPr>
            <w:tcW w:type="dxa" w:w="2304"/>
            <w:shd w:fill="f0f4ff" w:val="clear"/>
          </w:tcPr>
          <w:p>
            <w:r/>
            <w:r>
              <w:rPr>
                <w:sz w:val="18"/>
              </w:rPr>
              <w:t>No (30-day default)</w:t>
            </w:r>
          </w:p>
        </w:tc>
        <w:tc>
          <w:tcPr>
            <w:tcW w:type="dxa" w:w="3024"/>
            <w:shd w:fill="f0f4ff" w:val="clear"/>
          </w:tcPr>
          <w:p>
            <w:r/>
            <w:r>
              <w:rPr>
                <w:sz w:val="18"/>
              </w:rPr>
              <w:t>Yes (configurable)</w:t>
            </w:r>
          </w:p>
        </w:tc>
      </w:tr>
      <w:tr>
        <w:tc>
          <w:tcPr>
            <w:tcW w:type="dxa" w:w="4032"/>
          </w:tcPr>
          <w:p>
            <w:r/>
            <w:r>
              <w:rPr>
                <w:sz w:val="18"/>
              </w:rPr>
              <w:t>IP Allowlisting</w:t>
            </w:r>
          </w:p>
        </w:tc>
        <w:tc>
          <w:tcPr>
            <w:tcW w:type="dxa" w:w="2304"/>
          </w:tcPr>
          <w:p>
            <w:r/>
            <w:r>
              <w:rPr>
                <w:sz w:val="18"/>
              </w:rPr>
              <w:t>No</w:t>
            </w:r>
          </w:p>
        </w:tc>
        <w:tc>
          <w:tcPr>
            <w:tcW w:type="dxa" w:w="3024"/>
          </w:tcPr>
          <w:p>
            <w:r/>
            <w:r>
              <w:rPr>
                <w:sz w:val="18"/>
              </w:rPr>
              <w:t>Yes</w:t>
            </w:r>
          </w:p>
        </w:tc>
      </w:tr>
      <w:tr>
        <w:tc>
          <w:tcPr>
            <w:tcW w:type="dxa" w:w="4032"/>
            <w:shd w:fill="f0f4ff" w:val="clear"/>
          </w:tcPr>
          <w:p>
            <w:r/>
            <w:r>
              <w:rPr>
                <w:sz w:val="18"/>
              </w:rPr>
              <w:t>Tenant Restrictions</w:t>
            </w:r>
          </w:p>
        </w:tc>
        <w:tc>
          <w:tcPr>
            <w:tcW w:type="dxa" w:w="2304"/>
            <w:shd w:fill="f0f4ff" w:val="clear"/>
          </w:tcPr>
          <w:p>
            <w:r/>
            <w:r>
              <w:rPr>
                <w:sz w:val="18"/>
              </w:rPr>
              <w:t>No</w:t>
            </w:r>
          </w:p>
        </w:tc>
        <w:tc>
          <w:tcPr>
            <w:tcW w:type="dxa" w:w="3024"/>
            <w:shd w:fill="f0f4ff" w:val="clear"/>
          </w:tcPr>
          <w:p>
            <w:r/>
            <w:r>
              <w:rPr>
                <w:sz w:val="18"/>
              </w:rPr>
              <w:t>Yes</w:t>
            </w:r>
          </w:p>
        </w:tc>
      </w:tr>
      <w:tr>
        <w:tc>
          <w:tcPr>
            <w:tcW w:type="dxa" w:w="4032"/>
          </w:tcPr>
          <w:p>
            <w:r/>
            <w:r>
              <w:rPr>
                <w:sz w:val="18"/>
              </w:rPr>
              <w:t>HIPAA / BAA</w:t>
            </w:r>
          </w:p>
        </w:tc>
        <w:tc>
          <w:tcPr>
            <w:tcW w:type="dxa" w:w="2304"/>
          </w:tcPr>
          <w:p>
            <w:r/>
            <w:r>
              <w:rPr>
                <w:sz w:val="18"/>
              </w:rPr>
              <w:t>No</w:t>
            </w:r>
          </w:p>
        </w:tc>
        <w:tc>
          <w:tcPr>
            <w:tcW w:type="dxa" w:w="3024"/>
          </w:tcPr>
          <w:p>
            <w:r/>
            <w:r>
              <w:rPr>
                <w:sz w:val="18"/>
              </w:rPr>
              <w:t>Sales-assisted only</w:t>
            </w:r>
          </w:p>
        </w:tc>
      </w:tr>
      <w:tr>
        <w:tc>
          <w:tcPr>
            <w:tcW w:type="dxa" w:w="4032"/>
            <w:shd w:fill="f0f4ff" w:val="clear"/>
          </w:tcPr>
          <w:p>
            <w:r/>
            <w:r>
              <w:rPr>
                <w:sz w:val="18"/>
              </w:rPr>
              <w:t>Context Window</w:t>
            </w:r>
          </w:p>
        </w:tc>
        <w:tc>
          <w:tcPr>
            <w:tcW w:type="dxa" w:w="2304"/>
            <w:shd w:fill="f0f4ff" w:val="clear"/>
          </w:tcPr>
          <w:p>
            <w:r/>
            <w:r>
              <w:rPr>
                <w:sz w:val="18"/>
              </w:rPr>
              <w:t>200K tokens</w:t>
            </w:r>
          </w:p>
        </w:tc>
        <w:tc>
          <w:tcPr>
            <w:tcW w:type="dxa" w:w="3024"/>
            <w:shd w:fill="f0f4ff" w:val="clear"/>
          </w:tcPr>
          <w:p>
            <w:r/>
            <w:r>
              <w:rPr>
                <w:sz w:val="18"/>
              </w:rPr>
              <w:t>500K (Sonnet 4.6)</w:t>
            </w:r>
          </w:p>
        </w:tc>
      </w:tr>
      <w:tr>
        <w:tc>
          <w:tcPr>
            <w:tcW w:type="dxa" w:w="4032"/>
          </w:tcPr>
          <w:p>
            <w:r/>
            <w:r>
              <w:rPr>
                <w:sz w:val="18"/>
              </w:rPr>
              <w:t>Claude Code Access</w:t>
            </w:r>
          </w:p>
        </w:tc>
        <w:tc>
          <w:tcPr>
            <w:tcW w:type="dxa" w:w="2304"/>
          </w:tcPr>
          <w:p>
            <w:r/>
            <w:r>
              <w:rPr>
                <w:sz w:val="18"/>
              </w:rPr>
              <w:t>Premium seats only</w:t>
            </w:r>
          </w:p>
        </w:tc>
        <w:tc>
          <w:tcPr>
            <w:tcW w:type="dxa" w:w="3024"/>
          </w:tcPr>
          <w:p>
            <w:r/>
            <w:r>
              <w:rPr>
                <w:sz w:val="18"/>
              </w:rPr>
              <w:t>All seats</w:t>
            </w:r>
          </w:p>
        </w:tc>
      </w:tr>
      <w:tr>
        <w:tc>
          <w:tcPr>
            <w:tcW w:type="dxa" w:w="4032"/>
            <w:shd w:fill="f0f4ff" w:val="clear"/>
          </w:tcPr>
          <w:p>
            <w:r/>
            <w:r>
              <w:rPr>
                <w:sz w:val="18"/>
              </w:rPr>
              <w:t>Cowork Access</w:t>
            </w:r>
          </w:p>
        </w:tc>
        <w:tc>
          <w:tcPr>
            <w:tcW w:type="dxa" w:w="2304"/>
            <w:shd w:fill="f0f4ff" w:val="clear"/>
          </w:tcPr>
          <w:p>
            <w:r/>
            <w:r>
              <w:rPr>
                <w:sz w:val="18"/>
              </w:rPr>
              <w:t>No</w:t>
            </w:r>
          </w:p>
        </w:tc>
        <w:tc>
          <w:tcPr>
            <w:tcW w:type="dxa" w:w="3024"/>
            <w:shd w:fill="f0f4ff" w:val="clear"/>
          </w:tcPr>
          <w:p>
            <w:r/>
            <w:r>
              <w:rPr>
                <w:sz w:val="18"/>
              </w:rPr>
              <w:t>All seats</w:t>
            </w:r>
          </w:p>
        </w:tc>
      </w:tr>
      <w:tr>
        <w:tc>
          <w:tcPr>
            <w:tcW w:type="dxa" w:w="4032"/>
          </w:tcPr>
          <w:p>
            <w:r/>
            <w:r>
              <w:rPr>
                <w:sz w:val="18"/>
              </w:rPr>
              <w:t>Zero Data Retention (no training)</w:t>
            </w:r>
          </w:p>
        </w:tc>
        <w:tc>
          <w:tcPr>
            <w:tcW w:type="dxa" w:w="2304"/>
          </w:tcPr>
          <w:p>
            <w:r/>
            <w:r>
              <w:rPr>
                <w:sz w:val="18"/>
              </w:rPr>
              <w:t>Yes</w:t>
            </w:r>
          </w:p>
        </w:tc>
        <w:tc>
          <w:tcPr>
            <w:tcW w:type="dxa" w:w="3024"/>
          </w:tcPr>
          <w:p>
            <w:r/>
            <w:r>
              <w:rPr>
                <w:sz w:val="18"/>
              </w:rPr>
              <w:t>Yes</w:t>
            </w:r>
          </w:p>
        </w:tc>
      </w:tr>
      <w:tr>
        <w:tc>
          <w:tcPr>
            <w:tcW w:type="dxa" w:w="4032"/>
            <w:shd w:fill="f0f4ff" w:val="clear"/>
          </w:tcPr>
          <w:p>
            <w:r/>
            <w:r>
              <w:rPr>
                <w:sz w:val="18"/>
              </w:rPr>
              <w:t>Encryption (TLS + at rest)</w:t>
            </w:r>
          </w:p>
        </w:tc>
        <w:tc>
          <w:tcPr>
            <w:tcW w:type="dxa" w:w="2304"/>
            <w:shd w:fill="f0f4ff" w:val="clear"/>
          </w:tcPr>
          <w:p>
            <w:r/>
            <w:r>
              <w:rPr>
                <w:sz w:val="18"/>
              </w:rPr>
              <w:t>Yes</w:t>
            </w:r>
          </w:p>
        </w:tc>
        <w:tc>
          <w:tcPr>
            <w:tcW w:type="dxa" w:w="3024"/>
            <w:shd w:fill="f0f4ff" w:val="clear"/>
          </w:tcPr>
          <w:p>
            <w:r/>
            <w:r>
              <w:rPr>
                <w:sz w:val="18"/>
              </w:rPr>
              <w:t>Yes</w:t>
            </w:r>
          </w:p>
        </w:tc>
      </w:tr>
      <w:tr>
        <w:tc>
          <w:tcPr>
            <w:tcW w:type="dxa" w:w="4032"/>
          </w:tcPr>
          <w:p>
            <w:r/>
            <w:r>
              <w:rPr>
                <w:sz w:val="18"/>
              </w:rPr>
              <w:t>Spend Controls</w:t>
            </w:r>
          </w:p>
        </w:tc>
        <w:tc>
          <w:tcPr>
            <w:tcW w:type="dxa" w:w="2304"/>
          </w:tcPr>
          <w:p>
            <w:r/>
            <w:r>
              <w:rPr>
                <w:sz w:val="18"/>
              </w:rPr>
              <w:t>Yes</w:t>
            </w:r>
          </w:p>
        </w:tc>
        <w:tc>
          <w:tcPr>
            <w:tcW w:type="dxa" w:w="3024"/>
          </w:tcPr>
          <w:p>
            <w:r/>
            <w:r>
              <w:rPr>
                <w:sz w:val="18"/>
              </w:rPr>
              <w:t>Yes (org + per-user)</w:t>
            </w:r>
          </w:p>
        </w:tc>
      </w:tr>
      <w:tr>
        <w:tc>
          <w:tcPr>
            <w:tcW w:type="dxa" w:w="4032"/>
            <w:shd w:fill="f0f4ff" w:val="clear"/>
          </w:tcPr>
          <w:p>
            <w:r/>
            <w:r>
              <w:rPr>
                <w:sz w:val="18"/>
              </w:rPr>
              <w:t>Connectors (Google, GitHub, Slack, M365)</w:t>
            </w:r>
          </w:p>
        </w:tc>
        <w:tc>
          <w:tcPr>
            <w:tcW w:type="dxa" w:w="2304"/>
            <w:shd w:fill="f0f4ff" w:val="clear"/>
          </w:tcPr>
          <w:p>
            <w:r/>
            <w:r>
              <w:rPr>
                <w:sz w:val="18"/>
              </w:rPr>
              <w:t>Yes</w:t>
            </w:r>
          </w:p>
        </w:tc>
        <w:tc>
          <w:tcPr>
            <w:tcW w:type="dxa" w:w="3024"/>
            <w:shd w:fill="f0f4ff" w:val="clear"/>
          </w:tcPr>
          <w:p>
            <w:r/>
            <w:r>
              <w:rPr>
                <w:sz w:val="18"/>
              </w:rPr>
              <w:t>Yes</w:t>
            </w:r>
          </w:p>
        </w:tc>
      </w:tr>
      <w:tr>
        <w:tc>
          <w:tcPr>
            <w:tcW w:type="dxa" w:w="4032"/>
          </w:tcPr>
          <w:p>
            <w:r/>
            <w:r>
              <w:rPr>
                <w:sz w:val="18"/>
              </w:rPr>
              <w:t>Memory</w:t>
            </w:r>
          </w:p>
        </w:tc>
        <w:tc>
          <w:tcPr>
            <w:tcW w:type="dxa" w:w="2304"/>
          </w:tcPr>
          <w:p>
            <w:r/>
            <w:r>
              <w:rPr>
                <w:sz w:val="18"/>
              </w:rPr>
              <w:t>Yes</w:t>
            </w:r>
          </w:p>
        </w:tc>
        <w:tc>
          <w:tcPr>
            <w:tcW w:type="dxa" w:w="3024"/>
          </w:tcPr>
          <w:p>
            <w:r/>
            <w:r>
              <w:rPr>
                <w:sz w:val="18"/>
              </w:rPr>
              <w:t>Yes</w:t>
            </w:r>
          </w:p>
        </w:tc>
      </w:tr>
      <w:tr>
        <w:tc>
          <w:tcPr>
            <w:tcW w:type="dxa" w:w="4032"/>
            <w:shd w:fill="f0f4ff" w:val="clear"/>
          </w:tcPr>
          <w:p>
            <w:r/>
            <w:r>
              <w:rPr>
                <w:sz w:val="18"/>
              </w:rPr>
              <w:t>Dedicated Support</w:t>
            </w:r>
          </w:p>
        </w:tc>
        <w:tc>
          <w:tcPr>
            <w:tcW w:type="dxa" w:w="2304"/>
            <w:shd w:fill="f0f4ff" w:val="clear"/>
          </w:tcPr>
          <w:p>
            <w:r/>
            <w:r>
              <w:rPr>
                <w:sz w:val="18"/>
              </w:rPr>
              <w:t>No</w:t>
            </w:r>
          </w:p>
        </w:tc>
        <w:tc>
          <w:tcPr>
            <w:tcW w:type="dxa" w:w="3024"/>
            <w:shd w:fill="f0f4ff" w:val="clear"/>
          </w:tcPr>
          <w:p>
            <w:r/>
            <w:r>
              <w:rPr>
                <w:sz w:val="18"/>
              </w:rPr>
              <w:t>Sales-assisted only</w:t>
            </w:r>
          </w:p>
        </w:tc>
      </w:tr>
    </w:tbl>
    <w:p>
      <w:r>
        <w:rPr>
          <w:b/>
        </w:rPr>
        <w:t xml:space="preserve">Sources: </w:t>
      </w:r>
      <w:r>
        <w:rPr>
          <w:color w:val="646464"/>
          <w:sz w:val="16"/>
        </w:rPr>
        <w:t>support.claude.com/en/articles/9266767 (Team Plan) | support.claude.com/en/articles/9797531 (Enterprise Plan) | claude.com/blog/self-serve-enterprise | claude.com/blog/claude-code-and-new-admin-controls-for-business-plans</w:t>
      </w:r>
    </w:p>
    <w:p>
      <w:pPr>
        <w:pStyle w:val="Heading2"/>
      </w:pPr>
      <w:r>
        <w:t>2. Pricing Comparison</w:t>
      </w:r>
    </w:p>
    <w:p>
      <w:pPr>
        <w:pStyle w:val="Heading3"/>
      </w:pPr>
      <w:r>
        <w:t>Teams Plan</w:t>
      </w:r>
    </w:p>
    <w:p>
      <w:r>
        <w:t xml:space="preserve">The Teams plan uses a per-seat model with usage included in the seat price. </w:t>
      </w:r>
      <w:r>
        <w:t>Each member gets individual usage limits per 5-hour session.</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fill="1a1a2e" w:val="clear"/>
          </w:tcPr>
          <w:p>
            <w:r/>
            <w:r>
              <w:rPr>
                <w:b/>
                <w:color w:val="FFFFFF"/>
                <w:sz w:val="18"/>
              </w:rPr>
            </w:r>
          </w:p>
        </w:tc>
        <w:tc>
          <w:tcPr>
            <w:tcW w:type="dxa" w:w="2592"/>
            <w:shd w:fill="1a1a2e" w:val="clear"/>
          </w:tcPr>
          <w:p>
            <w:r/>
            <w:r>
              <w:rPr>
                <w:b/>
                <w:color w:val="FFFFFF"/>
                <w:sz w:val="18"/>
              </w:rPr>
              <w:t>Monthly Billing</w:t>
            </w:r>
          </w:p>
        </w:tc>
        <w:tc>
          <w:tcPr>
            <w:tcW w:type="dxa" w:w="3312"/>
            <w:shd w:fill="1a1a2e" w:val="clear"/>
          </w:tcPr>
          <w:p>
            <w:r/>
            <w:r>
              <w:rPr>
                <w:b/>
                <w:color w:val="FFFFFF"/>
                <w:sz w:val="18"/>
              </w:rPr>
              <w:t>Annual Billing</w:t>
            </w:r>
          </w:p>
        </w:tc>
      </w:tr>
      <w:tr>
        <w:tc>
          <w:tcPr>
            <w:tcW w:type="dxa" w:w="3456"/>
            <w:shd w:fill="f0f4ff" w:val="clear"/>
          </w:tcPr>
          <w:p>
            <w:r/>
            <w:r>
              <w:rPr>
                <w:sz w:val="18"/>
              </w:rPr>
              <w:t>Standard Seat</w:t>
            </w:r>
          </w:p>
        </w:tc>
        <w:tc>
          <w:tcPr>
            <w:tcW w:type="dxa" w:w="2592"/>
            <w:shd w:fill="f0f4ff" w:val="clear"/>
          </w:tcPr>
          <w:p>
            <w:r/>
            <w:r>
              <w:rPr>
                <w:sz w:val="18"/>
              </w:rPr>
              <w:t>$25/seat/month</w:t>
            </w:r>
          </w:p>
        </w:tc>
        <w:tc>
          <w:tcPr>
            <w:tcW w:type="dxa" w:w="3312"/>
            <w:shd w:fill="f0f4ff" w:val="clear"/>
          </w:tcPr>
          <w:p>
            <w:r/>
            <w:r>
              <w:rPr>
                <w:sz w:val="18"/>
              </w:rPr>
              <w:t>~$20/seat/month</w:t>
            </w:r>
          </w:p>
        </w:tc>
      </w:tr>
      <w:tr>
        <w:tc>
          <w:tcPr>
            <w:tcW w:type="dxa" w:w="3456"/>
          </w:tcPr>
          <w:p>
            <w:r/>
            <w:r>
              <w:rPr>
                <w:sz w:val="18"/>
              </w:rPr>
              <w:t>Premium Seat (incl. Claude Code)</w:t>
            </w:r>
          </w:p>
        </w:tc>
        <w:tc>
          <w:tcPr>
            <w:tcW w:type="dxa" w:w="2592"/>
          </w:tcPr>
          <w:p>
            <w:r/>
            <w:r>
              <w:rPr>
                <w:sz w:val="18"/>
              </w:rPr>
              <w:t>$125/seat/month</w:t>
            </w:r>
          </w:p>
        </w:tc>
        <w:tc>
          <w:tcPr>
            <w:tcW w:type="dxa" w:w="3312"/>
          </w:tcPr>
          <w:p>
            <w:r/>
            <w:r>
              <w:rPr>
                <w:sz w:val="18"/>
              </w:rPr>
              <w:t>~$100/seat/month</w:t>
            </w:r>
          </w:p>
        </w:tc>
      </w:tr>
      <w:tr>
        <w:tc>
          <w:tcPr>
            <w:tcW w:type="dxa" w:w="3456"/>
            <w:shd w:fill="f0f4ff" w:val="clear"/>
          </w:tcPr>
          <w:p>
            <w:r/>
            <w:r>
              <w:rPr>
                <w:sz w:val="18"/>
              </w:rPr>
              <w:t>Seat Minimum</w:t>
            </w:r>
          </w:p>
        </w:tc>
        <w:tc>
          <w:tcPr>
            <w:tcW w:type="dxa" w:w="2592"/>
            <w:shd w:fill="f0f4ff" w:val="clear"/>
          </w:tcPr>
          <w:p>
            <w:r/>
            <w:r>
              <w:rPr>
                <w:sz w:val="18"/>
              </w:rPr>
              <w:t>5 seats</w:t>
            </w:r>
          </w:p>
        </w:tc>
        <w:tc>
          <w:tcPr>
            <w:tcW w:type="dxa" w:w="3312"/>
            <w:shd w:fill="f0f4ff" w:val="clear"/>
          </w:tcPr>
          <w:p>
            <w:r/>
            <w:r>
              <w:rPr>
                <w:sz w:val="18"/>
              </w:rPr>
              <w:t>5 seats</w:t>
            </w:r>
          </w:p>
        </w:tc>
      </w:tr>
      <w:tr>
        <w:tc>
          <w:tcPr>
            <w:tcW w:type="dxa" w:w="3456"/>
          </w:tcPr>
          <w:p>
            <w:r/>
            <w:r>
              <w:rPr>
                <w:sz w:val="18"/>
              </w:rPr>
              <w:t>Seat Maximum</w:t>
            </w:r>
          </w:p>
        </w:tc>
        <w:tc>
          <w:tcPr>
            <w:tcW w:type="dxa" w:w="2592"/>
          </w:tcPr>
          <w:p>
            <w:r/>
            <w:r>
              <w:rPr>
                <w:sz w:val="18"/>
              </w:rPr>
              <w:t>150 seats</w:t>
            </w:r>
          </w:p>
        </w:tc>
        <w:tc>
          <w:tcPr>
            <w:tcW w:type="dxa" w:w="3312"/>
          </w:tcPr>
          <w:p>
            <w:r/>
            <w:r>
              <w:rPr>
                <w:sz w:val="18"/>
              </w:rPr>
              <w:t>150 seats</w:t>
            </w:r>
          </w:p>
        </w:tc>
      </w:tr>
      <w:tr>
        <w:tc>
          <w:tcPr>
            <w:tcW w:type="dxa" w:w="3456"/>
            <w:shd w:fill="f0f4ff" w:val="clear"/>
          </w:tcPr>
          <w:p>
            <w:r/>
            <w:r>
              <w:rPr>
                <w:sz w:val="18"/>
              </w:rPr>
              <w:t>Usage Model</w:t>
            </w:r>
          </w:p>
        </w:tc>
        <w:tc>
          <w:tcPr>
            <w:tcW w:type="dxa" w:w="2592"/>
            <w:shd w:fill="f0f4ff" w:val="clear"/>
          </w:tcPr>
          <w:p>
            <w:r/>
            <w:r>
              <w:rPr>
                <w:sz w:val="18"/>
              </w:rPr>
              <w:t>Per-seat limits (included)</w:t>
            </w:r>
          </w:p>
        </w:tc>
        <w:tc>
          <w:tcPr>
            <w:tcW w:type="dxa" w:w="3312"/>
            <w:shd w:fill="f0f4ff" w:val="clear"/>
          </w:tcPr>
          <w:p>
            <w:r/>
            <w:r>
              <w:rPr>
                <w:sz w:val="18"/>
              </w:rPr>
              <w:t>Per-seat limits (included)</w:t>
            </w:r>
          </w:p>
        </w:tc>
      </w:tr>
      <w:tr>
        <w:tc>
          <w:tcPr>
            <w:tcW w:type="dxa" w:w="3456"/>
          </w:tcPr>
          <w:p>
            <w:r/>
            <w:r>
              <w:rPr>
                <w:sz w:val="18"/>
              </w:rPr>
              <w:t>Extra Usage</w:t>
            </w:r>
          </w:p>
        </w:tc>
        <w:tc>
          <w:tcPr>
            <w:tcW w:type="dxa" w:w="2592"/>
          </w:tcPr>
          <w:p>
            <w:r/>
            <w:r>
              <w:rPr>
                <w:sz w:val="18"/>
              </w:rPr>
              <w:t>Optional, billed at API rates</w:t>
            </w:r>
          </w:p>
        </w:tc>
        <w:tc>
          <w:tcPr>
            <w:tcW w:type="dxa" w:w="3312"/>
          </w:tcPr>
          <w:p>
            <w:r/>
            <w:r>
              <w:rPr>
                <w:sz w:val="18"/>
              </w:rPr>
              <w:t>Optional, billed at API rates</w:t>
            </w:r>
          </w:p>
        </w:tc>
      </w:tr>
    </w:tbl>
    <w:p>
      <w:r>
        <w:rPr>
          <w:b/>
        </w:rPr>
        <w:t xml:space="preserve">Sources: </w:t>
      </w:r>
      <w:r>
        <w:rPr>
          <w:color w:val="646464"/>
          <w:sz w:val="16"/>
        </w:rPr>
        <w:t>anthropic.com/pricing | support.claude.com/en/articles/9266767 | support.claude.com/en/articles/9267289 (billing)</w:t>
      </w:r>
    </w:p>
    <w:p>
      <w:pPr>
        <w:pStyle w:val="Heading3"/>
      </w:pPr>
      <w:r>
        <w:t>Enterprise Plan (Self-Serve, as of Feb 2026)</w:t>
      </w:r>
    </w:p>
    <w:p>
      <w:r>
        <w:t xml:space="preserve">As of February 2026, Enterprise is available as a self-serve purchase </w:t>
      </w:r>
      <w:r>
        <w:t xml:space="preserve">with no sales conversation required. </w:t>
      </w:r>
      <w:r>
        <w:t xml:space="preserve">Enterprise uses a seat-plus-usage model: </w:t>
      </w:r>
      <w:r>
        <w:t xml:space="preserve">a flat per-seat fee gives access to Claude, Claude Code, and Cowork across all platforms, </w:t>
      </w:r>
      <w:r>
        <w:t>while usage (token consumption) is billed separately at standard API rates.</w:t>
      </w:r>
    </w:p>
    <w:tbl>
      <w:tblPr>
        <w:tblStyle w:val="TableGrid"/>
        <w:tblW w:type="auto" w:w="0"/>
        <w:jc w:val="center"/>
        <w:tblLook w:firstColumn="1" w:firstRow="1" w:lastColumn="0" w:lastRow="0" w:noHBand="0" w:noVBand="1" w:val="04A0"/>
      </w:tblPr>
      <w:tblGrid>
        <w:gridCol w:w="4320"/>
        <w:gridCol w:w="4320"/>
      </w:tblGrid>
      <w:tr>
        <w:tc>
          <w:tcPr>
            <w:tcW w:type="dxa" w:w="3456"/>
            <w:shd w:fill="1a1a2e" w:val="clear"/>
          </w:tcPr>
          <w:p>
            <w:r/>
            <w:r>
              <w:rPr>
                <w:b/>
                <w:color w:val="FFFFFF"/>
                <w:sz w:val="18"/>
              </w:rPr>
            </w:r>
          </w:p>
        </w:tc>
        <w:tc>
          <w:tcPr>
            <w:tcW w:type="dxa" w:w="5904"/>
            <w:shd w:fill="1a1a2e" w:val="clear"/>
          </w:tcPr>
          <w:p>
            <w:r/>
            <w:r>
              <w:rPr>
                <w:b/>
                <w:color w:val="FFFFFF"/>
                <w:sz w:val="18"/>
              </w:rPr>
              <w:t>Enterprise (Self-Serve)</w:t>
            </w:r>
          </w:p>
        </w:tc>
      </w:tr>
      <w:tr>
        <w:tc>
          <w:tcPr>
            <w:tcW w:type="dxa" w:w="3456"/>
            <w:shd w:fill="f0f4ff" w:val="clear"/>
          </w:tcPr>
          <w:p>
            <w:r/>
            <w:r>
              <w:rPr>
                <w:sz w:val="18"/>
              </w:rPr>
              <w:t>Seat Cost</w:t>
            </w:r>
          </w:p>
        </w:tc>
        <w:tc>
          <w:tcPr>
            <w:tcW w:type="dxa" w:w="5904"/>
            <w:shd w:fill="f0f4ff" w:val="clear"/>
          </w:tcPr>
          <w:p>
            <w:r/>
            <w:r>
              <w:rPr>
                <w:sz w:val="18"/>
              </w:rPr>
              <w:t>$20/seat/month (billed annually)</w:t>
            </w:r>
          </w:p>
        </w:tc>
      </w:tr>
      <w:tr>
        <w:tc>
          <w:tcPr>
            <w:tcW w:type="dxa" w:w="3456"/>
          </w:tcPr>
          <w:p>
            <w:r/>
            <w:r>
              <w:rPr>
                <w:sz w:val="18"/>
              </w:rPr>
              <w:t>Seat Minimum</w:t>
            </w:r>
          </w:p>
        </w:tc>
        <w:tc>
          <w:tcPr>
            <w:tcW w:type="dxa" w:w="5904"/>
          </w:tcPr>
          <w:p>
            <w:r/>
            <w:r>
              <w:rPr>
                <w:sz w:val="18"/>
              </w:rPr>
              <w:t>20 seats</w:t>
            </w:r>
          </w:p>
        </w:tc>
      </w:tr>
      <w:tr>
        <w:tc>
          <w:tcPr>
            <w:tcW w:type="dxa" w:w="3456"/>
            <w:shd w:fill="f0f4ff" w:val="clear"/>
          </w:tcPr>
          <w:p>
            <w:r/>
            <w:r>
              <w:rPr>
                <w:sz w:val="18"/>
              </w:rPr>
              <w:t>Seat Maximum</w:t>
            </w:r>
          </w:p>
        </w:tc>
        <w:tc>
          <w:tcPr>
            <w:tcW w:type="dxa" w:w="5904"/>
            <w:shd w:fill="f0f4ff" w:val="clear"/>
          </w:tcPr>
          <w:p>
            <w:r/>
            <w:r>
              <w:rPr>
                <w:sz w:val="18"/>
              </w:rPr>
              <w:t>Unlimited</w:t>
            </w:r>
          </w:p>
        </w:tc>
      </w:tr>
      <w:tr>
        <w:tc>
          <w:tcPr>
            <w:tcW w:type="dxa" w:w="3456"/>
          </w:tcPr>
          <w:p>
            <w:r/>
            <w:r>
              <w:rPr>
                <w:sz w:val="18"/>
              </w:rPr>
              <w:t>Includes</w:t>
            </w:r>
          </w:p>
        </w:tc>
        <w:tc>
          <w:tcPr>
            <w:tcW w:type="dxa" w:w="5904"/>
          </w:tcPr>
          <w:p>
            <w:r/>
            <w:r>
              <w:rPr>
                <w:sz w:val="18"/>
              </w:rPr>
              <w:t>Claude (web/desktop/mobile), Claude Code, Cowork</w:t>
            </w:r>
          </w:p>
        </w:tc>
      </w:tr>
      <w:tr>
        <w:tc>
          <w:tcPr>
            <w:tcW w:type="dxa" w:w="3456"/>
            <w:shd w:fill="f0f4ff" w:val="clear"/>
          </w:tcPr>
          <w:p>
            <w:r/>
            <w:r>
              <w:rPr>
                <w:sz w:val="18"/>
              </w:rPr>
              <w:t>Usage Model</w:t>
            </w:r>
          </w:p>
        </w:tc>
        <w:tc>
          <w:tcPr>
            <w:tcW w:type="dxa" w:w="5904"/>
            <w:shd w:fill="f0f4ff" w:val="clear"/>
          </w:tcPr>
          <w:p>
            <w:r/>
            <w:r>
              <w:rPr>
                <w:sz w:val="18"/>
              </w:rPr>
              <w:t>Shared org token pool, billed at API rates</w:t>
            </w:r>
          </w:p>
        </w:tc>
      </w:tr>
      <w:tr>
        <w:tc>
          <w:tcPr>
            <w:tcW w:type="dxa" w:w="3456"/>
          </w:tcPr>
          <w:p>
            <w:r/>
            <w:r>
              <w:rPr>
                <w:sz w:val="18"/>
              </w:rPr>
              <w:t>Per-User Spend Limit</w:t>
            </w:r>
          </w:p>
        </w:tc>
        <w:tc>
          <w:tcPr>
            <w:tcW w:type="dxa" w:w="5904"/>
          </w:tcPr>
          <w:p>
            <w:r/>
            <w:r>
              <w:rPr>
                <w:sz w:val="18"/>
              </w:rPr>
              <w:t>Configurable: $20, $50, $100, $200, $500, or $1,000/mo</w:t>
            </w:r>
          </w:p>
        </w:tc>
      </w:tr>
      <w:tr>
        <w:tc>
          <w:tcPr>
            <w:tcW w:type="dxa" w:w="3456"/>
            <w:shd w:fill="f0f4ff" w:val="clear"/>
          </w:tcPr>
          <w:p>
            <w:r/>
            <w:r>
              <w:rPr>
                <w:sz w:val="18"/>
              </w:rPr>
              <w:t>Starting Usage Balance</w:t>
            </w:r>
          </w:p>
        </w:tc>
        <w:tc>
          <w:tcPr>
            <w:tcW w:type="dxa" w:w="5904"/>
            <w:shd w:fill="f0f4ff" w:val="clear"/>
          </w:tcPr>
          <w:p>
            <w:r/>
            <w:r>
              <w:rPr>
                <w:sz w:val="18"/>
              </w:rPr>
              <w:t>Configurable at setup (initial token pool for the org)</w:t>
            </w:r>
          </w:p>
        </w:tc>
      </w:tr>
      <w:tr>
        <w:tc>
          <w:tcPr>
            <w:tcW w:type="dxa" w:w="3456"/>
          </w:tcPr>
          <w:p>
            <w:r/>
            <w:r>
              <w:rPr>
                <w:sz w:val="18"/>
              </w:rPr>
              <w:t>Sales-Assisted Option</w:t>
            </w:r>
          </w:p>
        </w:tc>
        <w:tc>
          <w:tcPr>
            <w:tcW w:type="dxa" w:w="5904"/>
          </w:tcPr>
          <w:p>
            <w:r/>
            <w:r>
              <w:rPr>
                <w:sz w:val="18"/>
              </w:rPr>
              <w:t>Available for custom terms, HIPAA/BAA, tiered usage commitments</w:t>
            </w:r>
          </w:p>
        </w:tc>
      </w:tr>
      <w:tr>
        <w:tc>
          <w:tcPr>
            <w:tcW w:type="dxa" w:w="3456"/>
            <w:shd w:fill="f0f4ff" w:val="clear"/>
          </w:tcPr>
          <w:p>
            <w:r/>
            <w:r>
              <w:rPr>
                <w:sz w:val="18"/>
              </w:rPr>
              <w:t>Nonprofit Discount</w:t>
            </w:r>
          </w:p>
        </w:tc>
        <w:tc>
          <w:tcPr>
            <w:tcW w:type="dxa" w:w="5904"/>
            <w:shd w:fill="f0f4ff" w:val="clear"/>
          </w:tcPr>
          <w:p>
            <w:r/>
            <w:r>
              <w:rPr>
                <w:sz w:val="18"/>
              </w:rPr>
              <w:t>Up to 75% off</w:t>
            </w:r>
          </w:p>
        </w:tc>
      </w:tr>
    </w:tbl>
    <w:p>
      <w:r>
        <w:rPr>
          <w:b/>
        </w:rPr>
        <w:t xml:space="preserve">Sources: </w:t>
      </w:r>
      <w:r>
        <w:rPr>
          <w:color w:val="646464"/>
          <w:sz w:val="16"/>
        </w:rPr>
        <w:t>claude.com/blog/self-serve-enterprise | support.claude.com/en/articles/13393991-purchase-and-manage-seats-on-enterprise-plans | anthropic.com/news/claude-for-nonprofits</w:t>
      </w:r>
    </w:p>
    <w:p>
      <w:pPr>
        <w:pStyle w:val="Heading3"/>
      </w:pPr>
      <w:r>
        <w:t>Cost Comparison Example (38 Users)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fill="1a1a2e" w:val="clear"/>
          </w:tcPr>
          <w:p>
            <w:r/>
            <w:r>
              <w:rPr>
                <w:b/>
                <w:color w:val="FFFFFF"/>
                <w:sz w:val="18"/>
              </w:rPr>
            </w:r>
          </w:p>
        </w:tc>
        <w:tc>
          <w:tcPr>
            <w:tcW w:type="dxa" w:w="3024"/>
            <w:shd w:fill="1a1a2e" w:val="clear"/>
          </w:tcPr>
          <w:p>
            <w:r/>
            <w:r>
              <w:rPr>
                <w:b/>
                <w:color w:val="FFFFFF"/>
                <w:sz w:val="18"/>
              </w:rPr>
              <w:t>Teams (Standard)</w:t>
            </w:r>
          </w:p>
        </w:tc>
        <w:tc>
          <w:tcPr>
            <w:tcW w:type="dxa" w:w="2880"/>
            <w:shd w:fill="1a1a2e" w:val="clear"/>
          </w:tcPr>
          <w:p>
            <w:r/>
            <w:r>
              <w:rPr>
                <w:b/>
                <w:color w:val="FFFFFF"/>
                <w:sz w:val="18"/>
              </w:rPr>
              <w:t>Enterprise (Self-Serve)</w:t>
            </w:r>
          </w:p>
        </w:tc>
      </w:tr>
      <w:tr>
        <w:tc>
          <w:tcPr>
            <w:tcW w:type="dxa" w:w="3456"/>
            <w:shd w:fill="f0f4ff" w:val="clear"/>
          </w:tcPr>
          <w:p>
            <w:r/>
            <w:r>
              <w:rPr>
                <w:sz w:val="18"/>
              </w:rPr>
              <w:t>Annual Seat Cost (38 users)</w:t>
            </w:r>
          </w:p>
        </w:tc>
        <w:tc>
          <w:tcPr>
            <w:tcW w:type="dxa" w:w="3024"/>
            <w:shd w:fill="f0f4ff" w:val="clear"/>
          </w:tcPr>
          <w:p>
            <w:r/>
            <w:r>
              <w:rPr>
                <w:sz w:val="18"/>
              </w:rPr>
              <w:t>$9,120/yr ($20/seat/mo)</w:t>
              <w:br/>
              <w:t>or $11,400/yr ($25/seat/mo monthly)</w:t>
            </w:r>
          </w:p>
        </w:tc>
        <w:tc>
          <w:tcPr>
            <w:tcW w:type="dxa" w:w="2880"/>
            <w:shd w:fill="f0f4ff" w:val="clear"/>
          </w:tcPr>
          <w:p>
            <w:r/>
            <w:r>
              <w:rPr>
                <w:sz w:val="18"/>
              </w:rPr>
              <w:t>$9,120/yr ($20/seat/mo)</w:t>
            </w:r>
          </w:p>
        </w:tc>
      </w:tr>
      <w:tr>
        <w:tc>
          <w:tcPr>
            <w:tcW w:type="dxa" w:w="3456"/>
          </w:tcPr>
          <w:p>
            <w:r/>
            <w:r>
              <w:rPr>
                <w:sz w:val="18"/>
              </w:rPr>
              <w:t>Claude Code Access</w:t>
            </w:r>
          </w:p>
        </w:tc>
        <w:tc>
          <w:tcPr>
            <w:tcW w:type="dxa" w:w="3024"/>
          </w:tcPr>
          <w:p>
            <w:r/>
            <w:r>
              <w:rPr>
                <w:sz w:val="18"/>
              </w:rPr>
              <w:t>+$100/seat/mo per Premium upgrade</w:t>
            </w:r>
          </w:p>
        </w:tc>
        <w:tc>
          <w:tcPr>
            <w:tcW w:type="dxa" w:w="2880"/>
          </w:tcPr>
          <w:p>
            <w:r/>
            <w:r>
              <w:rPr>
                <w:sz w:val="18"/>
              </w:rPr>
              <w:t>Included in all seats</w:t>
            </w:r>
          </w:p>
        </w:tc>
      </w:tr>
      <w:tr>
        <w:tc>
          <w:tcPr>
            <w:tcW w:type="dxa" w:w="3456"/>
            <w:shd w:fill="f0f4ff" w:val="clear"/>
          </w:tcPr>
          <w:p>
            <w:r/>
            <w:r>
              <w:rPr>
                <w:sz w:val="18"/>
              </w:rPr>
              <w:t>Usage</w:t>
            </w:r>
          </w:p>
        </w:tc>
        <w:tc>
          <w:tcPr>
            <w:tcW w:type="dxa" w:w="3024"/>
            <w:shd w:fill="f0f4ff" w:val="clear"/>
          </w:tcPr>
          <w:p>
            <w:r/>
            <w:r>
              <w:rPr>
                <w:sz w:val="18"/>
              </w:rPr>
              <w:t>Included (per-seat limits)</w:t>
            </w:r>
          </w:p>
        </w:tc>
        <w:tc>
          <w:tcPr>
            <w:tcW w:type="dxa" w:w="2880"/>
            <w:shd w:fill="f0f4ff" w:val="clear"/>
          </w:tcPr>
          <w:p>
            <w:r/>
            <w:r>
              <w:rPr>
                <w:sz w:val="18"/>
              </w:rPr>
              <w:t>Billed separately at API rates</w:t>
            </w:r>
          </w:p>
        </w:tc>
      </w:tr>
      <w:tr>
        <w:tc>
          <w:tcPr>
            <w:tcW w:type="dxa" w:w="3456"/>
          </w:tcPr>
          <w:p>
            <w:r/>
            <w:r>
              <w:rPr>
                <w:sz w:val="18"/>
              </w:rPr>
              <w:t>Audit Logs &amp; Compliance API</w:t>
            </w:r>
          </w:p>
        </w:tc>
        <w:tc>
          <w:tcPr>
            <w:tcW w:type="dxa" w:w="3024"/>
          </w:tcPr>
          <w:p>
            <w:r/>
            <w:r>
              <w:rPr>
                <w:sz w:val="18"/>
              </w:rPr>
              <w:t>Not available</w:t>
            </w:r>
          </w:p>
        </w:tc>
        <w:tc>
          <w:tcPr>
            <w:tcW w:type="dxa" w:w="2880"/>
          </w:tcPr>
          <w:p>
            <w:r/>
            <w:r>
              <w:rPr>
                <w:sz w:val="18"/>
              </w:rPr>
              <w:t>Included</w:t>
            </w:r>
          </w:p>
        </w:tc>
      </w:tr>
      <w:tr>
        <w:tc>
          <w:tcPr>
            <w:tcW w:type="dxa" w:w="3456"/>
            <w:shd w:fill="f0f4ff" w:val="clear"/>
          </w:tcPr>
          <w:p>
            <w:r/>
            <w:r>
              <w:rPr>
                <w:sz w:val="18"/>
              </w:rPr>
              <w:t>SCIM, Custom Retention, IP Allowlist</w:t>
            </w:r>
          </w:p>
        </w:tc>
        <w:tc>
          <w:tcPr>
            <w:tcW w:type="dxa" w:w="3024"/>
            <w:shd w:fill="f0f4ff" w:val="clear"/>
          </w:tcPr>
          <w:p>
            <w:r/>
            <w:r>
              <w:rPr>
                <w:sz w:val="18"/>
              </w:rPr>
              <w:t>Not available</w:t>
            </w:r>
          </w:p>
        </w:tc>
        <w:tc>
          <w:tcPr>
            <w:tcW w:type="dxa" w:w="2880"/>
            <w:shd w:fill="f0f4ff" w:val="clear"/>
          </w:tcPr>
          <w:p>
            <w:r/>
            <w:r>
              <w:rPr>
                <w:sz w:val="18"/>
              </w:rPr>
              <w:t>Included</w:t>
            </w:r>
          </w:p>
        </w:tc>
      </w:tr>
    </w:tbl>
    <w:p>
      <w:r>
        <w:rPr>
          <w:b/>
        </w:rPr>
        <w:br/>
        <w:t xml:space="preserve">Key takeaway: </w:t>
      </w:r>
      <w:r>
        <w:t>Enterprise self-serve seats are the same price as Teams Standard annual seats ($20/mo), but usage is billed separately at API rates rather than included. Enterprise includes Claude Code and Cowork for all seats (no Premium upgrade needed) plus all compliance features (audit logs, Compliance API, SCIM, custom retention). The migration from Teams to Enterprise is not reversible.</w:t>
      </w:r>
    </w:p>
    <w:p>
      <w:r>
        <w:rPr>
          <w:b/>
        </w:rPr>
        <w:t xml:space="preserve">Note: </w:t>
      </w:r>
      <w:r>
        <w:t>Teams with Premium seats ($100-125/seat/mo) may find Enterprise more cost-effective if Claude Code usage is moderate, since Enterprise includes Claude Code in the $20 seat and only charges for actual token consumption.</w:t>
      </w:r>
    </w:p>
    <w:p>
      <w:pPr>
        <w:pStyle w:val="Heading2"/>
      </w:pPr>
      <w:r>
        <w:t>3. Maintaining SOC 2 &amp; ISO 27001 Compliance on the Teams Plan</w:t>
      </w:r>
    </w:p>
    <w:p>
      <w:pPr>
        <w:pStyle w:val="Heading3"/>
      </w:pPr>
      <w:r>
        <w:t>Anthropic's Certifications (Covering All Plans)</w:t>
      </w:r>
    </w:p>
    <w:p>
      <w:r>
        <w:t>Anthropic holds the following certifications, which cover the platform infrastructure used by all commercial plans including Teams:</w:t>
      </w:r>
    </w:p>
    <w:p>
      <w:pPr>
        <w:pStyle w:val="ListBullet"/>
      </w:pPr>
      <w:r>
        <w:t>SOC 2 Type I &amp; Type II</w:t>
      </w:r>
    </w:p>
    <w:p>
      <w:pPr>
        <w:pStyle w:val="ListBullet"/>
      </w:pPr>
      <w:r>
        <w:t>ISO 27001:2022 (Information Security Management)</w:t>
      </w:r>
    </w:p>
    <w:p>
      <w:pPr>
        <w:pStyle w:val="ListBullet"/>
      </w:pPr>
      <w:r>
        <w:t>ISO/IEC 42001:2023 (AI Management Systems)</w:t>
      </w:r>
    </w:p>
    <w:p>
      <w:pPr>
        <w:pStyle w:val="ListBullet"/>
      </w:pPr>
      <w:r>
        <w:t>CSA STAR Level 2 (Cloud Security Alliance)</w:t>
      </w:r>
    </w:p>
    <w:p>
      <w:r>
        <w:t>Detailed SOC 2 reports are available under NDA via Anthropic's Trust Center at trust.anthropic.com. The SOC 3 summary report is publicly accessible.</w:t>
      </w:r>
    </w:p>
    <w:p>
      <w:r>
        <w:rPr>
          <w:b/>
        </w:rPr>
        <w:t xml:space="preserve">Sources: </w:t>
      </w:r>
      <w:r>
        <w:rPr>
          <w:color w:val="646464"/>
          <w:sz w:val="16"/>
        </w:rPr>
        <w:t>support.anthropic.com/en/articles/10015870 (certifications) | trust.anthropic.com | anthropic.com/news/anthropic-achieves-iso-42001-certification-for-responsible-ai</w:t>
      </w:r>
    </w:p>
    <w:p>
      <w:pPr>
        <w:pStyle w:val="Heading3"/>
      </w:pPr>
      <w:r>
        <w:t>What Anthropic Provides on Teams (Your Vendor Controls)</w:t>
      </w:r>
    </w:p>
    <w:p>
      <w:pPr>
        <w:spacing w:after="80"/>
      </w:pPr>
      <w:r>
        <w:rPr>
          <w:b/>
        </w:rPr>
        <w:t xml:space="preserve">Zero data retention: </w:t>
      </w:r>
      <w:r>
        <w:t>Conversations are not used for model training. Anthropic acts as a Data Processor; the customer is the Data Controller.</w:t>
      </w:r>
    </w:p>
    <w:p>
      <w:pPr>
        <w:spacing w:after="80"/>
      </w:pPr>
      <w:r>
        <w:rPr>
          <w:b/>
        </w:rPr>
        <w:t xml:space="preserve">30-day backend deletion: </w:t>
      </w:r>
      <w:r>
        <w:t>Inputs/outputs are automatically deleted within 30 days of receipt. If a prompt triggers AUP review, data may be retained for up to 90 days.</w:t>
      </w:r>
    </w:p>
    <w:p>
      <w:pPr>
        <w:spacing w:after="80"/>
      </w:pPr>
      <w:r>
        <w:rPr>
          <w:b/>
        </w:rPr>
        <w:t xml:space="preserve">Encryption: </w:t>
      </w:r>
      <w:r>
        <w:t>TLS encryption in transit; AES encryption at rest; confidential inference with TPM root of trust.</w:t>
      </w:r>
    </w:p>
    <w:p>
      <w:pPr>
        <w:spacing w:after="80"/>
      </w:pPr>
      <w:r>
        <w:rPr>
          <w:b/>
        </w:rPr>
        <w:t xml:space="preserve">Employee access controls: </w:t>
      </w:r>
      <w:r>
        <w:t>Anthropic employees cannot access conversations by default. Access only via explicit user consent or Trust &amp; Safety review on a need-to-know basis.</w:t>
      </w:r>
    </w:p>
    <w:p>
      <w:pPr>
        <w:spacing w:after="80"/>
      </w:pPr>
      <w:r>
        <w:rPr>
          <w:b/>
        </w:rPr>
        <w:t xml:space="preserve">SSO &amp; Domain Capture: </w:t>
      </w:r>
      <w:r>
        <w:t>Enforce authenticated access and prevent shadow IT with company email domains.</w:t>
      </w:r>
    </w:p>
    <w:p>
      <w:pPr>
        <w:spacing w:after="80"/>
      </w:pPr>
      <w:r>
        <w:rPr>
          <w:b/>
        </w:rPr>
        <w:t xml:space="preserve">SOC 2 Type II report: </w:t>
      </w:r>
      <w:r>
        <w:t>Available under NDA via trust.anthropic.com for your vendor risk assessment.</w:t>
      </w:r>
    </w:p>
    <w:p>
      <w:r>
        <w:rPr>
          <w:b/>
        </w:rPr>
        <w:t xml:space="preserve">Sources: </w:t>
      </w:r>
      <w:r>
        <w:rPr>
          <w:color w:val="646464"/>
          <w:sz w:val="16"/>
        </w:rPr>
        <w:t>privacy.anthropic.com/en/articles/9267385 (Processor/Controller) | privacy.anthropic.com/en/articles/7996866 (data retention) | privacy.anthropic.com/en/articles/10458704 (data protection) | trust.anthropic.com/controls</w:t>
      </w:r>
    </w:p>
    <w:p>
      <w:pPr>
        <w:pStyle w:val="Heading3"/>
      </w:pPr>
      <w:r>
        <w:t>Gaps on Teams &amp; Required Compensating Controls</w:t>
      </w:r>
    </w:p>
    <w:p>
      <w:r>
        <w:t>The Teams plan lacks audit logs, the Compliance API, SCIM, custom data retention, and IP allowlisting. To satisfy SOC 2 and ISO 27001 audit requirements, implement compensating controls for each gap:</w:t>
      </w:r>
    </w:p>
    <w:p>
      <w:pPr>
        <w:spacing w:after="120"/>
      </w:pPr>
      <w:r>
        <w:rPr>
          <w:b/>
        </w:rPr>
        <w:t>No Audit Logs (SOC 2 CC7.2, CC7.3 / ISO A.8.15)</w:t>
        <w:br/>
      </w:r>
      <w:r>
        <w:t>Compensating control: Implement manual usage reviews and attestation processes. Require team members to log AI usage in a shared tracker. Conduct quarterly access reviews of the Teams admin panel. Document all compensating controls and review cadence.</w:t>
      </w:r>
    </w:p>
    <w:p>
      <w:pPr>
        <w:spacing w:after="120"/>
      </w:pPr>
      <w:r>
        <w:rPr>
          <w:b/>
        </w:rPr>
        <w:t>No Compliance API (SOC 2 CC7.1 / ISO A.5.36)</w:t>
        <w:br/>
      </w:r>
      <w:r>
        <w:t>Compensating control: Create internal monitoring procedures. Use the Teams admin panel for user management visibility. Establish an incident response procedure for AI-related events. Reference Anthropic's SOC 2 Type II report in your vendor risk assessment.</w:t>
      </w:r>
    </w:p>
    <w:p>
      <w:pPr>
        <w:spacing w:after="120"/>
      </w:pPr>
      <w:r>
        <w:rPr>
          <w:b/>
        </w:rPr>
        <w:t>No SCIM (SOC 2 CC6.1, CC6.2 / ISO A.5.18)</w:t>
        <w:br/>
      </w:r>
      <w:r>
        <w:t>Compensating control: Use SSO + JIT provisioning (available on Teams) to automate onboarding. Establish a documented offboarding checklist that includes revoking Claude access. Conduct periodic user access reviews (monthly or quarterly).</w:t>
      </w:r>
    </w:p>
    <w:p>
      <w:pPr>
        <w:spacing w:after="120"/>
      </w:pPr>
      <w:r>
        <w:rPr>
          <w:b/>
        </w:rPr>
        <w:t>No Custom Data Retention (SOC 2 CC6.5 / ISO A.8.10)</w:t>
        <w:br/>
      </w:r>
      <w:r>
        <w:t>Compensating control: Document Anthropic's default 30-day deletion policy in your data retention schedule. Create an acceptable use policy that prohibits submitting regulated data (PII, PHI, financial data) to Claude. Train employees on data classification before AI use.</w:t>
      </w:r>
    </w:p>
    <w:p>
      <w:pPr>
        <w:spacing w:after="120"/>
      </w:pPr>
      <w:r>
        <w:rPr>
          <w:b/>
        </w:rPr>
        <w:t>No IP Allowlisting (SOC 2 CC6.6 / ISO A.8.20)</w:t>
        <w:br/>
      </w:r>
      <w:r>
        <w:t>Compensating control: Enforce access through SSO with conditional access policies from your IdP (e.g., Okta, Azure AD) to restrict login by IP/location/device. Enable MFA through your SSO provider.</w:t>
      </w:r>
    </w:p>
    <w:p>
      <w:pPr>
        <w:pStyle w:val="Heading3"/>
      </w:pPr>
      <w:r>
        <w:t>Documentation Checklist for Your Auditor</w:t>
      </w:r>
    </w:p>
    <w:p>
      <w:pPr>
        <w:pStyle w:val="ListBullet"/>
      </w:pPr>
      <w:r>
        <w:t>Vendor Risk Assessment documenting Anthropic as a subprocessor (reference their SOC 2 Type II report from trust.anthropic.com)</w:t>
      </w:r>
    </w:p>
    <w:p>
      <w:pPr>
        <w:pStyle w:val="ListBullet"/>
      </w:pPr>
      <w:r>
        <w:t>Data Classification Policy defining what data may/may not be submitted to Claude</w:t>
      </w:r>
    </w:p>
    <w:p>
      <w:pPr>
        <w:pStyle w:val="ListBullet"/>
      </w:pPr>
      <w:r>
        <w:t>Acceptable Use Policy for AI tools, reviewed and signed by all employees</w:t>
      </w:r>
    </w:p>
    <w:p>
      <w:pPr>
        <w:pStyle w:val="ListBullet"/>
      </w:pPr>
      <w:r>
        <w:t>Access Control Procedures documenting SSO configuration, onboarding/offboarding, and periodic reviews</w:t>
      </w:r>
    </w:p>
    <w:p>
      <w:pPr>
        <w:pStyle w:val="ListBullet"/>
      </w:pPr>
      <w:r>
        <w:t>Compensating Controls Documentation for each Enterprise-only feature gap listed above</w:t>
      </w:r>
    </w:p>
    <w:p>
      <w:pPr>
        <w:pStyle w:val="ListBullet"/>
      </w:pPr>
      <w:r>
        <w:t>Incident Response Plan covering AI-specific scenarios (data leakage, misuse, unauthorized access)</w:t>
      </w:r>
    </w:p>
    <w:p>
      <w:pPr>
        <w:pStyle w:val="ListBullet"/>
      </w:pPr>
      <w:r>
        <w:t>Employee Training Records showing AI security awareness training completion</w:t>
      </w:r>
    </w:p>
    <w:p>
      <w:pPr>
        <w:pStyle w:val="ListBullet"/>
      </w:pPr>
      <w:r>
        <w:t>Anthropic's Data Processing Terms (available at anthropic.com/legal)</w:t>
      </w:r>
    </w:p>
    <w:p>
      <w:r>
        <w:rPr>
          <w:b/>
        </w:rPr>
        <w:t xml:space="preserve">Sources: </w:t>
      </w:r>
      <w:r>
        <w:rPr>
          <w:color w:val="646464"/>
          <w:sz w:val="16"/>
        </w:rPr>
        <w:t>support.claude.com/en/articles/9797531 (Enterprise features) | support.claude.com/en/articles/9266767 (Team features) | privacy.anthropic.com/en/collections/10671789 (compliance controls) | trust.anthropic.com (compliance reports) | docs.anthropic.com/en/docs/claude-code/legal-and-compliance</w:t>
      </w:r>
    </w:p>
    <w:p/>
    <w:p>
      <w:r>
        <w:rPr>
          <w:i/>
          <w:color w:val="787878"/>
          <w:sz w:val="16"/>
        </w:rPr>
        <w:t>All information sourced from official Anthropic documentation as of March 2026. Enterprise self-serve pricing confirmed via claude.com/blog/self-serve-enterprise and support.claude.com/en/articles/13393991.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