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Lab2 時脈緩衝器插入研究報告</w:t>
      </w:r>
    </w:p>
    <w:p>
      <w:pPr>
        <w:pStyle w:val="Subtitle"/>
      </w:pPr>
      <w:r>
        <w:t>學號 M11502102　｜　Computer Aided Design for VLSI System　｜　2026 年 10 月 13 日</w:t>
      </w:r>
    </w:p>
    <w:p>
      <w:r>
        <w:t>本研究以合法時脈樹為起點，結合空間分群、模擬退火與增量更新，在 fanout 與總輸出線長限制下減少時脈偏移及緩衝器成本。五個版本於 27 筆測資共產生 135 份合法輸出；最終版相對基礎建構版的 Score 幾何平均比值，在既有與新增測資分別為 0.469 與 0.301。</w:t>
      </w:r>
    </w:p>
    <w:p>
      <w:pPr>
        <w:pStyle w:val="Heading1"/>
      </w:pPr>
      <w:r>
        <w:t>一 問題定義與合法性</w:t>
      </w:r>
    </w:p>
    <w:p>
      <w:r>
        <w:t>以 Manhattan 距離 d(u,v) = |xᵤ − xᵥ| + |yᵤ − yᵥ| 表示邊長，sink 到達時間 Tᵢ 為 SRC 至該 sink 的路徑長度總和。本題不計 buffer 本身的延遲，也不需實際繞線；目標為最小化下式。[1]</w:t>
      </w:r>
    </w:p>
    <w:p>
      <w:pPr>
        <w:spacing w:before="40" w:after="120"/>
        <w:jc w:val="center"/>
      </w:pPr>
      <w:r>
        <w:rPr>
          <w:sz w:val="20"/>
        </w:rPr>
        <w:t>Skew = T_max − T_min　　 Score = Σ buffer cost + w_skew × Skew</w:t>
      </w:r>
    </w:p>
    <w:p>
      <w:r>
        <w:t>每個父節點均須滿足 children 數 ≤ fanout 上限、所有輸出邊長總和 ≤ length 上限。座標不可重疊；buffer 採驗證器要求的嚴格晶片內部座標。每個 buffer／sink 恰有一個父節點且可由 SRC 到達，sink 為葉節點，buffer 不可閒置；輸出依 BFS 深度分層並連續編號。[1,2]</w:t>
      </w:r>
    </w:p>
    <w:p>
      <w:pPr>
        <w:pStyle w:val="Heading1"/>
      </w:pPr>
      <w:r>
        <w:t>二 初始合法解建構</w:t>
      </w:r>
    </w:p>
    <w:p>
      <w:r>
        <w:rPr>
          <w:b/>
        </w:rPr>
        <w:t xml:space="preserve">由下往上分群。 </w:t>
      </w:r>
      <w:r>
        <w:t>將所有 sink 視為尚未連接的子樹根；若 SRC 的 fanout 與總線長足以驅動全部根節點，便直接連接。否則以 Morton 編碼交錯座標位元排序，使空間鄰近節點較容易被分在同一群，再貪心擴群。</w:t>
      </w:r>
    </w:p>
    <w:p>
      <w:r>
        <w:rPr>
          <w:b/>
        </w:rPr>
        <w:t xml:space="preserve">找位置與選型號。 </w:t>
      </w:r>
      <w:r>
        <w:t>先以各座標的中位數降低群內總線長，在附近搜尋未佔用的整數位置，並選擇同時滿足 fanout、length 的最低成本型號。最終版再以粗網格與逐步細搜，最小化「子樹 skew × w_skew + 型號成本」，以極小線長項打破同分。此為平衡啟發式，並不保證零 skew。</w:t>
      </w:r>
    </w:p>
    <w:p>
      <w:r>
        <w:rPr>
          <w:b/>
        </w:rPr>
        <w:t xml:space="preserve">處理無法合併的情況。 </w:t>
      </w:r>
      <w:r>
        <w:t>若一輪沒有合併，便插入 relay buffer，使子樹根與 SRC 的距離縮短，再繼續分群。新父節點只連接既有的獨立子樹，因此不會形成環。成功建樹後完整重算合法性與 Score；位置搜尋有範圍及輪數上限，不能宣稱對所有可行輸入都必定找到解。</w:t>
      </w:r>
    </w:p>
    <w:p>
      <w:pPr>
        <w:pStyle w:val="Heading1"/>
      </w:pPr>
      <w:r>
        <w:t>三 在合法前提下最佳化</w:t>
      </w:r>
    </w:p>
    <w:p>
      <w:r>
        <w:rPr>
          <w:b/>
        </w:rPr>
        <w:t xml:space="preserve">局部操作與還原。 </w:t>
      </w:r>
      <w:r>
        <w:t>退火每次以 20% 插入繞路 buffer、30% 移動 buffer、30% 改接父節點、10% 平衡重放、10% 交換同祖父下兩個節點的父節點進行試探。改接後刪除空 buffer，並重新選擇最低成本合法型號；只檢查受影響父節點的負載、線長及座標，失敗即還原。改接範圍限制在祖父或叔伯 buffer，避免形成環。</w:t>
      </w:r>
    </w:p>
    <w:p>
      <w:r>
        <w:rPr>
          <w:b/>
        </w:rPr>
        <w:t xml:space="preserve">退火與關鍵路徑。 </w:t>
      </w:r>
      <w:r>
        <w:t>使用 E = Score + 0.3 × w_skew × σ，其中 σ 為 sink 到達時間標準差；它能在最大／最小到達時間未變時提供搜尋方向。合法候選若 ΔE &gt; 0，以 exp(−ΔE/T) 機率接受，溫度隨時間幾何遞減；30% 的節點選擇優先來自最早或最晚路徑。N ≤ 50 使用四段不同 seed 的搜尋，其餘一段。</w:t>
      </w:r>
    </w:p>
    <w:p>
      <w:r>
        <w:rPr>
          <w:b/>
        </w:rPr>
        <w:t xml:space="preserve">增量評估。 </w:t>
      </w:r>
      <w:r>
        <w:t>各節點保存子樹最短／最長路徑 lo、hi、sink 數及到達時間的一、二階總和；修改只向祖先更新，摘要不變即停止。lo(u) = min[d(u,c)+lo(c)]，hi 同理取 max，故根節點可直接取得 skew。每次重算成本約為受影響祖先的 fanout 總和，避免掃描整棵樹；每段搜尋結束仍以完整評估核對，僅用合法且 Score 更低的結果替換保留解。[2]</w:t>
      </w:r>
    </w:p>
    <w:p>
      <w:r>
        <w:br w:type="page"/>
      </w:r>
    </w:p>
    <w:p>
      <w:pPr>
        <w:pStyle w:val="Heading1"/>
      </w:pPr>
      <w:r>
        <w:t>四 實驗設定與同測資階段比較</w:t>
      </w:r>
    </w:p>
    <w:p>
      <w:r>
        <w:t>既有 testcases 共 15 筆：001 為課程範例，其餘由測資產生器建立，N = 1 至 10,000；新增 holdout 共 12 筆，由 seed 2026 產生，涵蓋均勻／群聚分布、不同 SRC 位置、驅動限制與 w_skew。兩組皆屬本地實驗，新增組也曾參與開發比較，不視為獨立盲測。[3]</w:t>
      </w:r>
    </w:p>
    <w:p>
      <w:r>
        <w:t>採 C++17，最終版的最佳化時間預算為 min(40, 2 + N/250) 秒。以下使用保存的同一批實測紀錄，重新以課程 verifier 檢查五版共 135 份輸出，全部 VALID，且 Score、T_max、T_min 與紀錄一致。最終版單筆實測 2.01 至 40.04 秒，低於課程 60 秒限制；此時間含本機建樹與輸出，不保證其他機器也有相同耗時。[1-3]</w:t>
      </w:r>
    </w:p>
    <w:p>
      <w:pPr>
        <w:pStyle w:val="Caption"/>
      </w:pPr>
      <w:r>
        <w:t>表 1　v5 同次執行的初始合法解 → 最佳化結果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1276"/>
        <w:gridCol w:w="1786"/>
        <w:gridCol w:w="2211"/>
        <w:gridCol w:w="2296"/>
        <w:gridCol w:w="765"/>
      </w:tblGrid>
      <w:tr>
        <w:trPr>
          <w:cantSplit/>
          <w:tblHeader/>
        </w:trPr>
        <w:tc>
          <w:tcPr>
            <w:tcW w:type="dxa" w:w="595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測資</w:t>
            </w:r>
          </w:p>
        </w:tc>
        <w:tc>
          <w:tcPr>
            <w:tcW w:type="dxa" w:w="1276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N / w_skew</w:t>
            </w:r>
          </w:p>
        </w:tc>
        <w:tc>
          <w:tcPr>
            <w:tcW w:type="dxa" w:w="1786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Skew</w:t>
            </w:r>
          </w:p>
        </w:tc>
        <w:tc>
          <w:tcPr>
            <w:tcW w:type="dxa" w:w="2211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Buffer 成本</w:t>
            </w:r>
          </w:p>
        </w:tc>
        <w:tc>
          <w:tcPr>
            <w:tcW w:type="dxa" w:w="2296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765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8"/>
              </w:rPr>
              <w:t>降幅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 → 1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36 → 36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37 → 37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 / 1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97 → 4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22 → 26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119 → 30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74.8%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113 → 7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162 → 146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275 → 153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44.4%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50 / 2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277 → 13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516 → 450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1,070 → 476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55.5%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100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680 → 55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1,124 → 992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1,804 → 1,047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42.0%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200 / 5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236 → 66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820 → 834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2,000 → 1,164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41.8%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500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599 → 199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2,542 → 2,188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3,141 → 2,387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24.0%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1,000 / 3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1,116 → 152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3,654 → 3,464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7,002 → 3,920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44.0%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2,000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874 → 423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8,999 → 8,894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9,873 → 9,317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5.6%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5,000 / 10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3,007 → 232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18,414 → 18,126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48,484 → 20,446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57.8%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10,000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2,217 → 614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34,196 → 32,194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36,413 → 32,808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9.9%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30 / 1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379 → 15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1,140 → 962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1,519 → 977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35.7%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300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111 → 54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910 → 886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1,021 → 940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7.9%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27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178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 → 0</w:t>
            </w:r>
          </w:p>
        </w:tc>
        <w:tc>
          <w:tcPr>
            <w:tcW w:type="dxa" w:w="221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10 → 10</w:t>
            </w:r>
          </w:p>
        </w:tc>
        <w:tc>
          <w:tcPr>
            <w:tcW w:type="dxa" w:w="2296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10 → 10</w:t>
            </w:r>
          </w:p>
        </w:tc>
        <w:tc>
          <w:tcPr>
            <w:tcW w:type="dxa" w:w="765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8 / 1</w:t>
            </w:r>
          </w:p>
        </w:tc>
        <w:tc>
          <w:tcPr>
            <w:tcW w:type="dxa" w:w="178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143 → 20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0 → 30</w:t>
            </w:r>
          </w:p>
        </w:tc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143 → 50</w:t>
            </w:r>
          </w:p>
        </w:tc>
        <w:tc>
          <w:tcPr>
            <w:tcW w:type="dxa" w:w="765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8"/>
              </w:rPr>
              <w:t>65.0%</w:t>
            </w:r>
          </w:p>
        </w:tc>
      </w:tr>
    </w:tbl>
    <w:p>
      <w:pPr>
        <w:spacing w:after="120"/>
      </w:pPr>
      <w:r>
        <w:rPr>
          <w:sz w:val="17"/>
        </w:rPr>
        <w:t>降幅 = (初始 Score − 最終 Score) / 初始 Score。表中起點為 v5 的 stage1，與表 2 的 v1 基礎建構版不同；各階段均使用相同輸入。[3]</w:t>
      </w:r>
    </w:p>
    <w:p>
      <w:r>
        <w:rPr>
          <w:b/>
        </w:rPr>
        <w:t xml:space="preserve">高 skew 權重的收益。 </w:t>
      </w:r>
      <w:r>
        <w:t>010 的 skew 由 3,007 降至 232，下降 92.3%；成本由 18,414 降至 18,126，Score 由 48,484 降至 20,446，下降 57.8%。總改善 28,038 中，有 27,750 來自加權 skew 的降低，占 99.0%，說明本例主要受時序平衡驅動。</w:t>
      </w:r>
    </w:p>
    <w:p>
      <w:r>
        <w:rPr>
          <w:b/>
        </w:rPr>
        <w:t xml:space="preserve">成本與偏移的取捨。 </w:t>
      </w:r>
      <w:r>
        <w:t>新增組 010（N = 2,000、w_skew = 10）的成本由 6,485 增至 7,115，但 skew 由 2,733 降至 237，Score 仍由 33,815 降至 9,485，下降 72.0%。因此適度增加繞路 buffer，可用較小成本換取更大的偏移改善。</w:t>
      </w:r>
    </w:p>
    <w:p>
      <w:r>
        <w:rPr>
          <w:b/>
        </w:rPr>
        <w:t xml:space="preserve">整體階段效果。 </w:t>
      </w:r>
      <w:r>
        <w:t>以各筆「最終／初始 Score」取幾何平均，v5 最佳化後在既有組為 0.614、新增組為 0.510，即分別降低約 38.6% 與 49.0%。001 與單 sink 的 014 未改善；前者已達整數座標的 skew 下限 1，後者 skew 為 0，但這不等於已證明其成本最佳。</w:t>
      </w:r>
    </w:p>
    <w:p>
      <w:r>
        <w:br w:type="page"/>
      </w:r>
    </w:p>
    <w:p>
      <w:pPr>
        <w:pStyle w:val="Heading1"/>
      </w:pPr>
      <w:r>
        <w:t>五 版本貢獻與結果討論</w:t>
      </w:r>
    </w:p>
    <w:p>
      <w:r>
        <w:t>表 2 比較五版最終 Score。各組以 v1 為基準，計算 G = exp(mean(log(Score_v / Score_v1)))，越低越好；如此可避免大型測資的絕對分數主導平均。v5 的程式內容與目前提交資料夾 M11502102 一致。[2,3]</w:t>
      </w:r>
    </w:p>
    <w:p>
      <w:pPr>
        <w:pStyle w:val="Caption"/>
      </w:pPr>
      <w:r>
        <w:t>表 2　各版本的 Score 幾何平均比值與搜尋預算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3231"/>
        <w:gridCol w:w="1219"/>
        <w:gridCol w:w="1219"/>
        <w:gridCol w:w="2608"/>
      </w:tblGrid>
      <w:tr>
        <w:trPr>
          <w:cantSplit/>
          <w:tblHeader/>
        </w:trPr>
        <w:tc>
          <w:tcPr>
            <w:tcW w:type="dxa" w:w="652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3231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7"/>
              </w:rPr>
              <w:t>主要方法</w:t>
            </w:r>
          </w:p>
        </w:tc>
        <w:tc>
          <w:tcPr>
            <w:tcW w:type="dxa" w:w="1219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7"/>
              </w:rPr>
              <w:t>既有 15 筆</w:t>
            </w:r>
          </w:p>
        </w:tc>
        <w:tc>
          <w:tcPr>
            <w:tcW w:type="dxa" w:w="1219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7"/>
              </w:rPr>
              <w:t>新增 12 筆</w:t>
            </w:r>
          </w:p>
        </w:tc>
        <w:tc>
          <w:tcPr>
            <w:tcW w:type="dxa" w:w="2608"/>
            <w:vAlign w:val="center"/>
            <w:shd w:fill="E5EDF3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/>
                <w:sz w:val="17"/>
              </w:rPr>
              <w:t>最佳化預算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v1</w:t>
            </w:r>
          </w:p>
        </w:tc>
        <w:tc>
          <w:tcPr>
            <w:tcW w:type="dxa" w:w="323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基礎合法建構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1.000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1.000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無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323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＋爬山式局部搜尋</w:t>
            </w:r>
          </w:p>
        </w:tc>
        <w:tc>
          <w:tcPr>
            <w:tcW w:type="dxa" w:w="1219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0.630</w:t>
            </w:r>
          </w:p>
        </w:tc>
        <w:tc>
          <w:tcPr>
            <w:tcW w:type="dxa" w:w="1219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0.452</w:t>
            </w:r>
          </w:p>
        </w:tc>
        <w:tc>
          <w:tcPr>
            <w:tcW w:type="dxa" w:w="2608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min(20, 2+N/500) 秒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v3</w:t>
            </w:r>
          </w:p>
        </w:tc>
        <w:tc>
          <w:tcPr>
            <w:tcW w:type="dxa" w:w="323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＋模擬退火與 σ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0.521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0.380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同 v2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v4</w:t>
            </w:r>
          </w:p>
        </w:tc>
        <w:tc>
          <w:tcPr>
            <w:tcW w:type="dxa" w:w="3231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＋增量更新與關鍵路徑</w:t>
            </w:r>
          </w:p>
        </w:tc>
        <w:tc>
          <w:tcPr>
            <w:tcW w:type="dxa" w:w="1219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0.487</w:t>
            </w:r>
          </w:p>
        </w:tc>
        <w:tc>
          <w:tcPr>
            <w:tcW w:type="dxa" w:w="1219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0.313</w:t>
            </w:r>
          </w:p>
        </w:tc>
        <w:tc>
          <w:tcPr>
            <w:tcW w:type="dxa" w:w="2608"/>
            <w:vAlign w:val="center"/>
            <w:shd w:fill="F6F8FA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同 v2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v5</w:t>
            </w:r>
          </w:p>
        </w:tc>
        <w:tc>
          <w:tcPr>
            <w:tcW w:type="dxa" w:w="3231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＋平衡放置與交換父節點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0.469</w:t>
            </w:r>
          </w:p>
        </w:tc>
        <w:tc>
          <w:tcPr>
            <w:tcW w:type="dxa" w:w="1219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0.301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exact"/>
              <w:jc w:val="center"/>
            </w:pPr>
            <w:r>
              <w:rPr>
                <w:b w:val="0"/>
                <w:sz w:val="17"/>
              </w:rPr>
              <w:t>min(40, 2+N/250) 秒</w:t>
            </w:r>
          </w:p>
        </w:tc>
      </w:tr>
    </w:tbl>
    <w:p>
      <w:pPr>
        <w:spacing w:after="80"/>
      </w:pPr>
      <w:r>
        <w:t>v5 相對 v1 的比值降低約 53.1%／69.9%；相對 v4 約降低 3.6%／3.7%。但 v5 同時改變建樹與時間預算，不能把差距全歸因於平衡／交換操作。逐筆仍有退步，例如既有 005 的 Score 由 v4 的 1,007 增至 v5 的 1,047；新增 004 由 150 增至 156。</w:t>
      </w:r>
    </w:p>
    <w:p>
      <w:pPr>
        <w:spacing w:after="20" w:line="240" w:lineRule="auto"/>
      </w:pPr>
      <w:r>
        <w:drawing>
          <wp:inline xmlns:a="http://schemas.openxmlformats.org/drawingml/2006/main" xmlns:pic="http://schemas.openxmlformats.org/drawingml/2006/picture">
            <wp:extent cx="6336000" cy="139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39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1　既有 004 的 50 個 sink 到達時間。v1 範圍為 91 至 722，v5 為 380 至 393；skew 由 631 降至 13，Score 由 1,756 降至 476。每點代表一個 sink，縱向錯開僅便於辨識；這是版本間比較，非表 1 的 v5 階段起點。[3]</w:t>
      </w:r>
    </w:p>
    <w:p>
      <w:r>
        <w:rPr>
          <w:b/>
        </w:rPr>
        <w:t xml:space="preserve">增量更新提高搜尋量。 </w:t>
      </w:r>
      <w:r>
        <w:t>既有 011（10,000 sinks）在同為約 20 秒的紀錄中，v3 試探 1,708,032 次，v4 為 34,201,600 次，約 20.0 倍；Score 由 35,357 降至 33,248。v4 也加入關鍵路徑選點，因此這是整體版本效果，並非單獨隔離增量更新的消融實驗。</w:t>
      </w:r>
    </w:p>
    <w:p>
      <w:r>
        <w:rPr>
          <w:b/>
        </w:rPr>
        <w:t xml:space="preserve">以鬆弛下界觀察改善空間。 </w:t>
      </w:r>
      <w:r>
        <w:t>設 N 為 sink 數、F_SRC 為 SRC fanout 上限，則 Σ_b(F_b−1) ≥ N−F_SRC，故成本下界為 ceil(max(0,N−F_SRC) × min_t[C_t/(F_t−1)])（取 F_t &gt; 1）。另外路徑長度奇偶只由端點決定；若 sinks 的 x+y 奇偶不同，skew 至少為 1。成本下界加上 w_skew × skew 下界，即得 Score 下界，但忽略幾何與線長限制，未必可達。</w:t>
      </w:r>
    </w:p>
    <w:p>
      <w:r>
        <w:t>既有 011 的最終 Score／下界 = 32,808／27,496 ≈ 1.19，013 為 940／821 ≈ 1.14；相較之下，012 為 977／81 ≈ 12.06，顯示僅用 fanout 下界不足以描述長距離 relay 的必要成本。這些比值用於衡量鬆弛下界差距，不能當成已知最佳解的誤差。</w:t>
      </w:r>
    </w:p>
    <w:p>
      <w:r>
        <w:rPr>
          <w:b/>
        </w:rPr>
        <w:t xml:space="preserve">限制與後續方向。 </w:t>
      </w:r>
      <w:r>
        <w:t>本結果為每版每筆一次保存紀錄，時間制退火受執行負載影響；後續應固定同一時間預算、重複多個 seed，並分別停用平衡與交換操作，量測平均與變異。現有程式週期性保存搜尋狀態，仍可能漏掉兩次保存之間的最佳候選，可改為依 Score 即時保存並評估額外成本。</w:t>
      </w:r>
    </w:p>
    <w:p>
      <w:pPr>
        <w:pStyle w:val="Heading2"/>
      </w:pPr>
      <w:r>
        <w:t>資料來源</w:t>
      </w:r>
    </w:p>
    <w:p>
      <w:pPr>
        <w:spacing w:after="0"/>
      </w:pPr>
      <w:r>
        <w:rPr>
          <w:sz w:val="16"/>
        </w:rPr>
        <w:t>[1] Project02.pdf；Project2 Requirement.pdf。 [2] M11502102/src/main.cpp；grader/grader/verifier.py。 [3] M11502102_report/results/{testcases,holdout}、tables/{testcases,holdout} 與 scripts/；TUTORIAL.md。上述路徑皆相對於 Lab2。</w:t>
      </w:r>
    </w:p>
    <w:sectPr w:rsidR="00FC693F" w:rsidRPr="0006063C" w:rsidSect="00034616">
      <w:footerReference w:type="default" r:id="rId9"/>
      <w:pgSz w:w="11906" w:h="16838"/>
      <w:pgMar w:top="822" w:right="907" w:bottom="794" w:left="907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M11502102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20" w:lineRule="exact"/>
      <w:snapToGrid w:val="0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  <w:snapToGrid w:val="0"/>
    </w:pPr>
    <w:rPr>
      <w:rFonts w:asciiTheme="majorHAnsi" w:eastAsiaTheme="majorEastAsia" w:hAnsiTheme="majorHAnsi" w:cstheme="majorBidi" w:ascii="Noto Sans CJK TC" w:hAnsi="Noto Sans CJK TC" w:eastAsia="Noto Sans CJK TC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/>
      <w:snapToGrid w:val="0"/>
    </w:pPr>
    <w:rPr>
      <w:rFonts w:ascii="Noto Sans CJK TC" w:hAnsi="Noto Sans CJK TC" w:eastAsia="Noto Sans CJK TC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 時脈緩衝器插入研究報告</dc:title>
  <dc:subject>合法建構與模擬退火最佳化</dc:subject>
  <dc:creator>M11502102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