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0000"/>
          <w:sz w:val="40"/>
        </w:rPr>
        <w:t>Joint Strategy and Project Accelerate Alignment</w:t>
      </w:r>
    </w:p>
    <w:p>
      <w:pPr>
        <w:spacing w:after="160"/>
        <w:jc w:val="left"/>
      </w:pPr>
      <w:r>
        <w:rPr>
          <w:rFonts w:ascii="Calibri" w:hAnsi="Calibri"/>
          <w:b w:val="0"/>
          <w:color w:val="5A5A5A"/>
          <w:sz w:val="21"/>
        </w:rPr>
        <w:t>Current structures, work-team alignment, and proposed model</w:t>
      </w:r>
    </w:p>
    <w:p>
      <w:pPr>
        <w:pStyle w:val="Heading1"/>
        <w:jc w:val="left"/>
      </w:pPr>
      <w:r>
        <w:t>1. Current structures</w:t>
      </w:r>
    </w:p>
    <w:tbl>
      <w:tblPr>
        <w:tblStyle w:val="TableGrid"/>
        <w:tblW w:type="dxa" w:w="106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AFAFAF"/>
          <w:left w:val="single" w:sz="5" w:color="AFAFAF"/>
          <w:bottom w:val="single" w:sz="5" w:color="AFAFAF"/>
          <w:right w:val="single" w:sz="5" w:color="AFAFAF"/>
          <w:insideH w:val="single" w:sz="5" w:color="AFAFAF"/>
          <w:insideV w:val="single" w:sz="5" w:color="AFAFAF"/>
        </w:tblBorders>
      </w:tblPr>
      <w:tblGrid>
        <w:gridCol w:w="1450"/>
        <w:gridCol w:w="4605"/>
        <w:gridCol w:w="4605"/>
      </w:tblGrid>
      <w:tr>
        <w:trPr>
          <w:tblHeader w:val="true"/>
        </w:trPr>
        <w:tc>
          <w:tcPr>
            <w:tcW w:type="dxa" w:w="1450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type="dxa" w:w="4605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Joint Strategy</w:t>
            </w:r>
          </w:p>
        </w:tc>
        <w:tc>
          <w:tcPr>
            <w:tcW w:type="dxa" w:w="4605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Project Accelerate</w:t>
            </w:r>
          </w:p>
        </w:tc>
      </w:tr>
      <w:tr>
        <w:trPr>
          <w:cantSplit/>
        </w:trPr>
        <w:tc>
          <w:tcPr>
            <w:tcW w:type="dxa" w:w="145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Purpose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Align the USGA and AGAs around a shared strategy.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Grow Golf Club membership.</w:t>
            </w:r>
          </w:p>
        </w:tc>
      </w:tr>
      <w:tr>
        <w:trPr>
          <w:cantSplit/>
        </w:trPr>
        <w:tc>
          <w:tcPr>
            <w:tcW w:type="dxa" w:w="145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Scope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Broad—USGA–AGA operations, sustainability, and growth.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Narrow—Golf Club growth.</w:t>
            </w:r>
          </w:p>
        </w:tc>
      </w:tr>
      <w:tr>
        <w:trPr>
          <w:cantSplit/>
        </w:trPr>
        <w:tc>
          <w:tcPr>
            <w:tcW w:type="dxa" w:w="145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Structure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Joint leadership, subcommittees, and work teams.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Cross-functional workgroups and operating functions.</w:t>
            </w:r>
          </w:p>
        </w:tc>
      </w:tr>
      <w:tr>
        <w:trPr>
          <w:cantSplit/>
        </w:trPr>
        <w:tc>
          <w:tcPr>
            <w:tcW w:type="dxa" w:w="145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Reports to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AGA Executive Committee and USGA leadership.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Project Accelerate executive sponsors and USGA leadership.</w:t>
            </w:r>
          </w:p>
        </w:tc>
      </w:tr>
      <w:tr>
        <w:trPr>
          <w:cantSplit/>
        </w:trPr>
        <w:tc>
          <w:tcPr>
            <w:tcW w:type="dxa" w:w="145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Primary value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AGA representation, alignment, and national reach.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Membership expertise, execution, and measurement.</w:t>
            </w:r>
          </w:p>
        </w:tc>
      </w:tr>
      <w:tr>
        <w:trPr>
          <w:cantSplit/>
        </w:trPr>
        <w:tc>
          <w:tcPr>
            <w:tcW w:type="dxa" w:w="1450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Orientation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Broad and strategic.</w:t>
            </w:r>
          </w:p>
        </w:tc>
        <w:tc>
          <w:tcPr>
            <w:tcW w:type="dxa" w:w="460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Focused and execution-oriented.</w:t>
            </w:r>
          </w:p>
        </w:tc>
      </w:tr>
    </w:tbl>
    <w:p>
      <w:pPr>
        <w:pStyle w:val="Heading1"/>
        <w:jc w:val="left"/>
      </w:pPr>
      <w:r>
        <w:t>2. Current work-team alignment and proposed structure</w:t>
      </w:r>
    </w:p>
    <w:p>
      <w:pPr>
        <w:spacing w:after="140"/>
        <w:jc w:val="left"/>
      </w:pPr>
      <w:r>
        <w:rPr>
          <w:rFonts w:ascii="Calibri" w:hAnsi="Calibri"/>
          <w:b w:val="0"/>
          <w:color w:val="232323"/>
          <w:sz w:val="20"/>
        </w:rPr>
        <w:t>Where work is closely related, teams could be combined to leverage their collective expertise, resources, and experience. Work without a direct parallel can remain distinct within the same overall structure.</w:t>
      </w:r>
    </w:p>
    <w:tbl>
      <w:tblPr>
        <w:tblStyle w:val="TableGrid"/>
        <w:tblW w:type="dxa" w:w="106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AFAFAF"/>
          <w:left w:val="single" w:sz="5" w:color="AFAFAF"/>
          <w:bottom w:val="single" w:sz="5" w:color="AFAFAF"/>
          <w:right w:val="single" w:sz="5" w:color="AFAFAF"/>
          <w:insideH w:val="single" w:sz="5" w:color="AFAFAF"/>
          <w:insideV w:val="single" w:sz="5" w:color="AFAFAF"/>
        </w:tblBorders>
      </w:tblPr>
      <w:tblGrid>
        <w:gridCol w:w="3553"/>
        <w:gridCol w:w="3553"/>
        <w:gridCol w:w="3554"/>
      </w:tblGrid>
      <w:tr>
        <w:trPr>
          <w:tblHeader w:val="true"/>
        </w:trPr>
        <w:tc>
          <w:tcPr>
            <w:tcW w:type="dxa" w:w="3553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Joint Strategy</w:t>
            </w:r>
          </w:p>
        </w:tc>
        <w:tc>
          <w:tcPr>
            <w:tcW w:type="dxa" w:w="3553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Project Accelerate</w:t>
            </w:r>
          </w:p>
        </w:tc>
        <w:tc>
          <w:tcPr>
            <w:tcW w:type="dxa" w:w="3554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Potential Structure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Targeted Audiences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Identifies priority golfer segments and strategies for reaching them.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Paid Media &amp; Marketing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Uses paid media and marketing campaigns to reach and convert golfers.</w:t>
            </w:r>
          </w:p>
        </w:tc>
        <w:tc>
          <w:tcPr>
            <w:tcW w:type="dxa" w:w="355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Acquisition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Identifies target audiences and uses paid media and marketing to acquire new members.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Member Retention/Recapture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Examines renewal and win-back opportunities across the broader membership base.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Win-Back/Recovery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Focuses on understanding and recovering lapsed Golf Club members.</w:t>
            </w:r>
          </w:p>
        </w:tc>
        <w:tc>
          <w:tcPr>
            <w:tcW w:type="dxa" w:w="355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Retention and Recovery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Improves renewal, prevents lapses, and recovers former members.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Golfer Journey and Enhanced Member Communications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Improve the golfer experience and establish effective member-communication practices.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GC Conversion &amp; Customer Journey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Improves the path from initial interest through purchase and early membership.</w:t>
            </w:r>
          </w:p>
        </w:tc>
        <w:tc>
          <w:tcPr>
            <w:tcW w:type="dxa" w:w="355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Member Engagement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Improves onboarding, communications, participation, and the active-member experience.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KPIs &amp; Agreement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Defines performance measures and their connection to the AGA Agreement.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Key Metrics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Establishes common definitions, dashboards, reporting, and governance.</w:t>
            </w:r>
          </w:p>
        </w:tc>
        <w:tc>
          <w:tcPr>
            <w:tcW w:type="dxa" w:w="355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Performance Measurement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Establishes shared KPIs, definitions, dashboards, reporting, and governance.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Member Feedback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Collects member input to improve the membership experience and guide strategy.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Research &amp; Surveys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Studies golfer behavior, satisfaction, and membership decisions.</w:t>
            </w:r>
          </w:p>
        </w:tc>
        <w:tc>
          <w:tcPr>
            <w:tcW w:type="dxa" w:w="355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Research &amp; Insights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Provides research, surveys, analysis, and member insights across all growth teams.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 direct parallel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Affiliate Marketing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Develops acquisition channels through GPA vendors, media companies, influencers, retailers, and other partners.</w:t>
            </w:r>
          </w:p>
        </w:tc>
        <w:tc>
          <w:tcPr>
            <w:tcW w:type="dxa" w:w="3554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Affiliate Marketing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Continues as a specialized discipline focused on managing third-party acquisition partnerships.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Technology Platform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Evaluates the tools and technology AGAs need to support membership operations.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 direct parallel</w:t>
            </w:r>
          </w:p>
        </w:tc>
        <w:tc>
          <w:tcPr>
            <w:tcW w:type="dxa" w:w="355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Technology Platform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Supports the tools and capabilities AGAs need for membership operations.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Course Rating Modernization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Implements improved course-rating technology, processes, and data.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 direct parallel</w:t>
            </w:r>
          </w:p>
        </w:tc>
        <w:tc>
          <w:tcPr>
            <w:tcW w:type="dxa" w:w="355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Course Rating Modernization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Continues as a specialized operational and technology initiative.</w:t>
            </w:r>
          </w:p>
        </w:tc>
      </w:tr>
      <w:tr>
        <w:trPr>
          <w:cantSplit/>
        </w:trPr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Unified Membership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Develops the broader membership model, benefits, financials, and implementation roadmap.</w:t>
            </w:r>
          </w:p>
        </w:tc>
        <w:tc>
          <w:tcPr>
            <w:tcW w:type="dxa" w:w="3553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 direct parallel</w:t>
            </w:r>
          </w:p>
        </w:tc>
        <w:tc>
          <w:tcPr>
            <w:tcW w:type="dxa" w:w="355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Unified Membership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Continues as the team responsible for the broader membership model and roadmap.</w:t>
            </w:r>
          </w:p>
        </w:tc>
      </w:tr>
    </w:tbl>
    <w:p>
      <w:pPr>
        <w:jc w:val="left"/>
      </w:pPr>
      <w:r>
        <w:br w:type="page"/>
      </w:r>
    </w:p>
    <w:p>
      <w:pPr>
        <w:pStyle w:val="Heading1"/>
        <w:jc w:val="left"/>
      </w:pPr>
      <w:r>
        <w:t>3. Why the proposed structure works</w:t>
      </w:r>
    </w:p>
    <w:tbl>
      <w:tblPr>
        <w:tblStyle w:val="TableGrid"/>
        <w:tblW w:type="dxa" w:w="106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AFAFAF"/>
          <w:left w:val="single" w:sz="5" w:color="AFAFAF"/>
          <w:bottom w:val="single" w:sz="5" w:color="AFAFAF"/>
          <w:right w:val="single" w:sz="5" w:color="AFAFAF"/>
          <w:insideH w:val="single" w:sz="5" w:color="AFAFAF"/>
          <w:insideV w:val="single" w:sz="5" w:color="AFAFAF"/>
        </w:tblBorders>
      </w:tblPr>
      <w:tblGrid>
        <w:gridCol w:w="5330"/>
        <w:gridCol w:w="5330"/>
      </w:tblGrid>
      <w:tr>
        <w:trPr>
          <w:tblHeader w:val="true"/>
        </w:trPr>
        <w:tc>
          <w:tcPr>
            <w:tcW w:type="dxa" w:w="5330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What Joint Strategy brings</w:t>
            </w:r>
          </w:p>
        </w:tc>
        <w:tc>
          <w:tcPr>
            <w:tcW w:type="dxa" w:w="5330"/>
            <w:shd w:fill="E7E7E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What Project Accelerate brings</w:t>
            </w:r>
          </w:p>
        </w:tc>
      </w:tr>
      <w:tr>
        <w:trPr>
          <w:cantSplit/>
        </w:trPr>
        <w:tc>
          <w:tcPr>
            <w:tcW w:type="dxa" w:w="533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Strategic reach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Direct AGA representation; broad organizational perspective; national reach and scale; long-term direction; and connection to the wider USGA–AGA relationship.</w:t>
            </w:r>
          </w:p>
        </w:tc>
        <w:tc>
          <w:tcPr>
            <w:tcW w:type="dxa" w:w="533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Execution expertise</w:t>
            </w:r>
            <w:r>
              <w:br/>
            </w:r>
            <w:r>
              <w:rPr>
                <w:rFonts w:ascii="Calibri" w:hAnsi="Calibri"/>
                <w:b w:val="0"/>
                <w:color w:val="232323"/>
                <w:sz w:val="19"/>
              </w:rPr>
              <w:t>Focused Golf Club growth expertise; hands-on execution; customer and transaction data; campaign testing and optimization; and experience measuring acquisition, engagement, and recovery.</w:t>
            </w:r>
          </w:p>
        </w:tc>
      </w:tr>
    </w:tbl>
    <w:p>
      <w:pPr>
        <w:pStyle w:val="Heading2"/>
        <w:jc w:val="left"/>
      </w:pPr>
      <w:r>
        <w:t>Why they are better together</w:t>
      </w:r>
    </w:p>
    <w:p>
      <w:pPr>
        <w:jc w:val="left"/>
      </w:pPr>
      <w:r>
        <w:rPr>
          <w:rFonts w:ascii="Calibri" w:hAnsi="Calibri"/>
          <w:b w:val="0"/>
          <w:color w:val="232323"/>
          <w:sz w:val="21"/>
        </w:rPr>
        <w:t>Joint Strategy establishes the broader direction and connects the work to AGA needs. Project Accelerate provides focused expertise in executing, testing, and measuring membership-growth strategies.</w:t>
      </w:r>
    </w:p>
    <w:p>
      <w:pPr>
        <w:jc w:val="left"/>
      </w:pPr>
      <w:r>
        <w:rPr>
          <w:rFonts w:ascii="Calibri" w:hAnsi="Calibri"/>
          <w:b w:val="0"/>
          <w:color w:val="232323"/>
          <w:sz w:val="21"/>
        </w:rPr>
        <w:t>The Golf Club can serve as a focused environment for developing and testing new approaches. Successful practices can then be adapted and scaled across the broader AGA membership base.</w:t>
      </w:r>
    </w:p>
    <w:p>
      <w:pPr>
        <w:pStyle w:val="Heading2"/>
        <w:jc w:val="left"/>
      </w:pPr>
      <w:r>
        <w:t>Benefits of the combined model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One membership-growth roadmap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Clear ownership across the member lifecycle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Better use of specialized expertise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Shared research, metrics, and reporting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Less duplicated planning and coordination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A stronger connection between strategy and execution</w:t>
      </w:r>
    </w:p>
    <w:p>
      <w:pPr>
        <w:pStyle w:val="ListBullet"/>
        <w:spacing w:after="60"/>
        <w:jc w:val="left"/>
      </w:pPr>
      <w:r>
        <w:rPr>
          <w:rFonts w:ascii="Calibri" w:hAnsi="Calibri"/>
          <w:b w:val="0"/>
          <w:color w:val="232323"/>
          <w:sz w:val="21"/>
        </w:rPr>
        <w:t>Faster transfer of successful practices to AGAs</w:t>
      </w:r>
    </w:p>
    <w:sectPr w:rsidR="00FC693F" w:rsidRPr="0006063C" w:rsidSect="00034616">
      <w:pgSz w:w="15840" w:h="12240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