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64FC" w14:textId="631D86D0" w:rsidR="00202451" w:rsidRDefault="00F53CFF" w:rsidP="00F53CFF">
      <w:pPr>
        <w:pStyle w:val="Heading1"/>
      </w:pPr>
      <w:r>
        <w:t>Executive Summary</w:t>
      </w:r>
    </w:p>
    <w:p w14:paraId="10000001" w14:textId="61D77A79" w:rsidR="00F53CFF" w:rsidRDefault="00F53CFF" w:rsidP="00F53CFF">
      <w:r>
        <w:t>Foreign giving to U.S. academic institutions between 2014 and 2020 is large ($16.6 billion across 28,221 gifts) but heavily concentrated, with Qatar alone accounting for 16% of total dollars and a handful of institutions</w:t>
      </w:r>
      <w:r w:rsidR="004602A4">
        <w:t xml:space="preserve"> (</w:t>
      </w:r>
      <w:r>
        <w:t>led by Carnegie Mellon University</w:t>
      </w:r>
      <w:r w:rsidR="004602A4">
        <w:t xml:space="preserve">) </w:t>
      </w:r>
      <w:r>
        <w:t xml:space="preserve">capturing outsized shares. </w:t>
      </w:r>
      <w:r w:rsidR="00CF1DF0">
        <w:t>In comparison,</w:t>
      </w:r>
      <w:r>
        <w:t xml:space="preserve"> the University of Virginia is a minor player, having received just $22.1 million in foreign gifts, roughly 2% of what six public peer institutions received combined ($988 million) over the same period. The clearest opportunity is </w:t>
      </w:r>
      <w:r w:rsidR="004602A4">
        <w:t>a</w:t>
      </w:r>
      <w:r>
        <w:t xml:space="preserve"> gap in specific relationships: China and Saudi Arabia together gave nearly $200 million to UVA’s peers while giving UVA nothing, and countries where UVA already has a foothold</w:t>
      </w:r>
      <w:r w:rsidR="004602A4">
        <w:t xml:space="preserve"> (</w:t>
      </w:r>
      <w:r>
        <w:t>England, Japan, and Switzerland</w:t>
      </w:r>
      <w:r w:rsidR="004602A4">
        <w:t xml:space="preserve">) </w:t>
      </w:r>
      <w:r>
        <w:t>are underfunded relative to peer scale rather than absent. We recommend UVA prioritize China and Saudi Arabia as new-relationship targets, leveraging its existing strength in sponsored research contracts, while investing in deepening its already-established but underdeveloped relationships with England, Japan, and Switzerland.</w:t>
      </w:r>
    </w:p>
    <w:p w14:paraId="1D55ACAD" w14:textId="47F25931" w:rsidR="00F53CFF" w:rsidRDefault="00F53CFF" w:rsidP="00F53CFF">
      <w:pPr>
        <w:pStyle w:val="Heading1"/>
      </w:pPr>
      <w:r>
        <w:t>Initial Results of Analyses</w:t>
      </w:r>
    </w:p>
    <w:p w14:paraId="3A943D85" w14:textId="483264C1" w:rsidR="00F53CFF" w:rsidRDefault="00F53CFF" w:rsidP="00F53CFF">
      <w:pPr>
        <w:pStyle w:val="Heading2"/>
      </w:pPr>
      <w:r>
        <w:t>Whole Set Analysis</w:t>
      </w:r>
    </w:p>
    <w:p w14:paraId="7E4E1C9D" w14:textId="7B02F336" w:rsidR="00F53CFF" w:rsidRPr="00F53CFF" w:rsidRDefault="00F53CFF" w:rsidP="00F53CFF">
      <w:r>
        <w:t xml:space="preserve">Between </w:t>
      </w:r>
      <w:r w:rsidR="00FA32B2">
        <w:t xml:space="preserve">2014 and 2020, the dataset records 28,221 foreign gifts totaling $16.6 billion. The average gift size was approximately $588 thousand, while the median was substantially lower at $94 thousand, indicating a heavily right skewed distribution. Giving is also concentrated geographically and institutionally: Qatar alone makes up 16% of total giving and Carnegie Mellon University </w:t>
      </w:r>
      <w:r w:rsidR="000619BB">
        <w:t>received the most in total gifts at around $1.5 billion.</w:t>
      </w:r>
    </w:p>
    <w:p w14:paraId="08D7D98C" w14:textId="46C29917" w:rsidR="00F53CFF" w:rsidRPr="00F53CFF" w:rsidRDefault="00F53CFF" w:rsidP="00F53CFF">
      <w:pPr>
        <w:pStyle w:val="Heading2"/>
      </w:pPr>
      <w:r>
        <w:t>UVA Analysis</w:t>
      </w:r>
    </w:p>
    <w:p w14:paraId="40F1D0EC" w14:textId="050026C5" w:rsidR="00F53CFF" w:rsidRDefault="00F53CFF" w:rsidP="00F53CFF">
      <w:r>
        <w:t xml:space="preserve">University of Virginia received 98 foreign gifts totaling approximately $22.1 million. The mean gift was approximately $226 thousand, with a median gift of around $80 thousand, indicating a strong right skew: a relatively small number of very large gifts substantially increased the average. This pattern is also visible in the boxplot and log-scaled histogram, included below. </w:t>
      </w:r>
    </w:p>
    <w:p w14:paraId="3A85BDFB" w14:textId="77777777" w:rsidR="000619BB" w:rsidRDefault="000619BB" w:rsidP="00F53CFF">
      <w:r w:rsidRPr="000619BB">
        <w:rPr>
          <w:noProof/>
        </w:rPr>
        <w:lastRenderedPageBreak/>
        <w:drawing>
          <wp:inline distT="0" distB="0" distL="0" distR="0" wp14:anchorId="3A3F5EF0" wp14:editId="267C732D">
            <wp:extent cx="5943600" cy="2095500"/>
            <wp:effectExtent l="0" t="0" r="0" b="0"/>
            <wp:docPr id="12942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61281" name=""/>
                    <pic:cNvPicPr/>
                  </pic:nvPicPr>
                  <pic:blipFill>
                    <a:blip r:embed="rId4"/>
                    <a:stretch>
                      <a:fillRect/>
                    </a:stretch>
                  </pic:blipFill>
                  <pic:spPr>
                    <a:xfrm>
                      <a:off x="0" y="0"/>
                      <a:ext cx="5943600" cy="2095500"/>
                    </a:xfrm>
                    <a:prstGeom prst="rect">
                      <a:avLst/>
                    </a:prstGeom>
                  </pic:spPr>
                </pic:pic>
              </a:graphicData>
            </a:graphic>
          </wp:inline>
        </w:drawing>
      </w:r>
    </w:p>
    <w:p w14:paraId="291C3FF2" w14:textId="77777777" w:rsidR="000619BB" w:rsidRDefault="000619BB" w:rsidP="00F53CFF"/>
    <w:p w14:paraId="64E96CDC" w14:textId="5198B570" w:rsidR="000619BB" w:rsidRDefault="000619BB" w:rsidP="00F53CFF">
      <w:r w:rsidRPr="000619BB">
        <w:rPr>
          <w:noProof/>
        </w:rPr>
        <w:drawing>
          <wp:inline distT="0" distB="0" distL="0" distR="0" wp14:anchorId="6A755909" wp14:editId="75F5A615">
            <wp:extent cx="5943600" cy="4061460"/>
            <wp:effectExtent l="0" t="0" r="0" b="0"/>
            <wp:docPr id="18885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45356" name=""/>
                    <pic:cNvPicPr/>
                  </pic:nvPicPr>
                  <pic:blipFill>
                    <a:blip r:embed="rId5"/>
                    <a:stretch>
                      <a:fillRect/>
                    </a:stretch>
                  </pic:blipFill>
                  <pic:spPr>
                    <a:xfrm>
                      <a:off x="0" y="0"/>
                      <a:ext cx="5943600" cy="4061460"/>
                    </a:xfrm>
                    <a:prstGeom prst="rect">
                      <a:avLst/>
                    </a:prstGeom>
                  </pic:spPr>
                </pic:pic>
              </a:graphicData>
            </a:graphic>
          </wp:inline>
        </w:drawing>
      </w:r>
    </w:p>
    <w:p w14:paraId="25357ADD" w14:textId="034AB6BF" w:rsidR="000619BB" w:rsidRDefault="000619BB" w:rsidP="00F53CFF">
      <w:r w:rsidRPr="000619BB">
        <w:rPr>
          <w:noProof/>
        </w:rPr>
        <w:lastRenderedPageBreak/>
        <w:drawing>
          <wp:inline distT="0" distB="0" distL="0" distR="0" wp14:anchorId="64516EFD" wp14:editId="41672302">
            <wp:extent cx="5943600" cy="3875405"/>
            <wp:effectExtent l="0" t="0" r="0" b="0"/>
            <wp:docPr id="143953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7188" name=""/>
                    <pic:cNvPicPr/>
                  </pic:nvPicPr>
                  <pic:blipFill>
                    <a:blip r:embed="rId6"/>
                    <a:stretch>
                      <a:fillRect/>
                    </a:stretch>
                  </pic:blipFill>
                  <pic:spPr>
                    <a:xfrm>
                      <a:off x="0" y="0"/>
                      <a:ext cx="5943600" cy="3875405"/>
                    </a:xfrm>
                    <a:prstGeom prst="rect">
                      <a:avLst/>
                    </a:prstGeom>
                  </pic:spPr>
                </pic:pic>
              </a:graphicData>
            </a:graphic>
          </wp:inline>
        </w:drawing>
      </w:r>
    </w:p>
    <w:p w14:paraId="0005CFDF" w14:textId="0F5B3ED2" w:rsidR="00F53CFF" w:rsidRDefault="00F53CFF" w:rsidP="00F53CFF">
      <w:r>
        <w:t xml:space="preserve">The largest total contributions came from Bangladesh, Sweden, and Tanzania, although countries with the most gift records were not necessarily those contributing the greatest total value. Gift activity varied </w:t>
      </w:r>
      <w:proofErr w:type="gramStart"/>
      <w:r>
        <w:t>across years</w:t>
      </w:r>
      <w:proofErr w:type="gramEnd"/>
      <w:r>
        <w:t xml:space="preserve">, with the highest total amount and the greatest number of gifts happening in 2016. </w:t>
      </w:r>
    </w:p>
    <w:p w14:paraId="0A75AD4A" w14:textId="77777777" w:rsidR="00D2495A" w:rsidRDefault="00D2495A" w:rsidP="00F53CFF"/>
    <w:p w14:paraId="277C53B4" w14:textId="55936C50" w:rsidR="00D2495A" w:rsidRDefault="00D2495A" w:rsidP="00D2495A">
      <w:pPr>
        <w:pStyle w:val="Heading1"/>
      </w:pPr>
      <w:r>
        <w:t>Strategy</w:t>
      </w:r>
    </w:p>
    <w:p w14:paraId="41159B54" w14:textId="7C642069" w:rsidR="00D2495A" w:rsidRDefault="00D2495A" w:rsidP="00D2495A">
      <w:r>
        <w:t>Comparing UVA’s foreign giving to six public peer institutions (Georgia Tech, NYU, UT Austin, UC Berkeley, UCLA, and Florida) reveals untapped opportunity. These peers collectively received $988 million in foreign gifts over the same period, while UVA received just $22.1 million. The gap is most pronounced with countries that give heavily to peers but have never given to UVA at all: China ($126.9 million to peers, $0 to UVA) and Saudi Arabia ($69.6 million to peers, $0 to UVA) represent the most blatant gap. England, Japan, and Switzerland also show large gaps ($122.3 million, $84.6 million, and $65.3 million respectively), though UVA has at least some existing relationship with these countries to build on.</w:t>
      </w:r>
    </w:p>
    <w:p w14:paraId="3086FEDF" w14:textId="52AD9AE9" w:rsidR="00D2495A" w:rsidRDefault="00D2495A" w:rsidP="00D2495A">
      <w:r>
        <w:lastRenderedPageBreak/>
        <w:t xml:space="preserve">China in particular stands out as a near-term target: its $126.9 million in peer giving is split </w:t>
      </w:r>
      <w:proofErr w:type="gramStart"/>
      <w:r>
        <w:t>fairly evenly</w:t>
      </w:r>
      <w:proofErr w:type="gramEnd"/>
      <w:r>
        <w:t xml:space="preserve"> between contracts ($59.8 million) and monetary gifts ($67.1 million)</w:t>
      </w:r>
      <w:r w:rsidR="00E9795C">
        <w:t xml:space="preserve"> overall, but the mix varies by institution. NYU’s China giving is almost entirely monetary fits ($42.0 million), while Berkeley’s and Georgia Tech’s lean more towards contracts. This suggests China-based funding reaches U.S. universities through multiple channels rather than one MAIN mechanism, giving UVA more than one plausible entry point to Chinese money. For example, direct philanthropic gifts as well as sponsored research agreements.</w:t>
      </w:r>
    </w:p>
    <w:p w14:paraId="7DF0A31E" w14:textId="6551FBD4" w:rsidR="00E9795C" w:rsidRPr="00D2495A" w:rsidRDefault="00E9795C" w:rsidP="00D2495A">
      <w:r>
        <w:t xml:space="preserve">For England, Japan, and Switzerland, the strategy differs slightly since UVA already has some presence. The goal should be the expansion of existing relationships rather than cold outreach. UVA’s current gifts from these countries are modest compared to peer schools (e.g., $2 million from Switzerland vs $65.3 million at peer institutions), suggesting that while UVA may have mature relationships with these countries, they just haven’t been resourced at the same level as UVA’s peer schools. </w:t>
      </w:r>
    </w:p>
    <w:p w14:paraId="10000004" w14:textId="10000004" w:rsidR="00D2495A" w:rsidRDefault="00D2495A" w:rsidP="00D2495A"/>
    <w:p w14:paraId="10000002" w14:textId="10000002" w:rsidR="00D2495A" w:rsidRDefault="00D2495A" w:rsidP="00D2495A">
      <w:pPr>
        <w:pStyle w:val="Heading1"/>
      </w:pPr>
      <w:r>
        <w:t>Conclusion</w:t>
      </w:r>
    </w:p>
    <w:p w14:paraId="10000003" w14:textId="2C6B86B3" w:rsidR="00D2495A" w:rsidRDefault="00D2495A" w:rsidP="00D2495A">
      <w:r>
        <w:t xml:space="preserve">UVA’s foreign giving is modest today, but the data </w:t>
      </w:r>
      <w:proofErr w:type="gramStart"/>
      <w:r>
        <w:t>suggest</w:t>
      </w:r>
      <w:proofErr w:type="gramEnd"/>
      <w:r>
        <w:t xml:space="preserve"> that gap reflects underdeveloped relationships rather than a lack of realistic opportunity. UVA already operates the kind of contract-based funding mechanisms that dominate giving from countries like Saudi Arabia, and it has existing, if thin, relationships with England, Japan, and Switzerland to build on. Closing even a fraction of the roughly $966 million gap between UVA and its peer group</w:t>
      </w:r>
      <w:r w:rsidR="004602A4">
        <w:t xml:space="preserve">, </w:t>
      </w:r>
      <w:r>
        <w:t>starting with the entirely untapped China and Saudi Arabia markets</w:t>
      </w:r>
      <w:r w:rsidR="004602A4">
        <w:t xml:space="preserve">, </w:t>
      </w:r>
      <w:r>
        <w:t>would represent a substantial and achievable increase in UVA’s foreign philanthropic support over the next several years.</w:t>
      </w:r>
    </w:p>
    <w:sectPr w:rsidR="00D24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FF"/>
    <w:rsid w:val="000619BB"/>
    <w:rsid w:val="000B686E"/>
    <w:rsid w:val="001D4D13"/>
    <w:rsid w:val="00202451"/>
    <w:rsid w:val="00413BB0"/>
    <w:rsid w:val="004602A4"/>
    <w:rsid w:val="006D2552"/>
    <w:rsid w:val="00936D4E"/>
    <w:rsid w:val="00CF1DF0"/>
    <w:rsid w:val="00D2495A"/>
    <w:rsid w:val="00E9795C"/>
    <w:rsid w:val="00F53CFF"/>
    <w:rsid w:val="00FA32B2"/>
    <w:rsid w:val="00FE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2E74"/>
  <w15:chartTrackingRefBased/>
  <w15:docId w15:val="{01833267-0233-40D4-9FC2-B7535046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3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3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CFF"/>
    <w:rPr>
      <w:rFonts w:eastAsiaTheme="majorEastAsia" w:cstheme="majorBidi"/>
      <w:color w:val="272727" w:themeColor="text1" w:themeTint="D8"/>
    </w:rPr>
  </w:style>
  <w:style w:type="paragraph" w:styleId="Title">
    <w:name w:val="Title"/>
    <w:basedOn w:val="Normal"/>
    <w:next w:val="Normal"/>
    <w:link w:val="TitleChar"/>
    <w:uiPriority w:val="10"/>
    <w:qFormat/>
    <w:rsid w:val="00F53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CFF"/>
    <w:pPr>
      <w:spacing w:before="160"/>
      <w:jc w:val="center"/>
    </w:pPr>
    <w:rPr>
      <w:i/>
      <w:iCs/>
      <w:color w:val="404040" w:themeColor="text1" w:themeTint="BF"/>
    </w:rPr>
  </w:style>
  <w:style w:type="character" w:customStyle="1" w:styleId="QuoteChar">
    <w:name w:val="Quote Char"/>
    <w:basedOn w:val="DefaultParagraphFont"/>
    <w:link w:val="Quote"/>
    <w:uiPriority w:val="29"/>
    <w:rsid w:val="00F53CFF"/>
    <w:rPr>
      <w:i/>
      <w:iCs/>
      <w:color w:val="404040" w:themeColor="text1" w:themeTint="BF"/>
    </w:rPr>
  </w:style>
  <w:style w:type="paragraph" w:styleId="ListParagraph">
    <w:name w:val="List Paragraph"/>
    <w:basedOn w:val="Normal"/>
    <w:uiPriority w:val="34"/>
    <w:qFormat/>
    <w:rsid w:val="00F53CFF"/>
    <w:pPr>
      <w:ind w:left="720"/>
      <w:contextualSpacing/>
    </w:pPr>
  </w:style>
  <w:style w:type="character" w:styleId="IntenseEmphasis">
    <w:name w:val="Intense Emphasis"/>
    <w:basedOn w:val="DefaultParagraphFont"/>
    <w:uiPriority w:val="21"/>
    <w:qFormat/>
    <w:rsid w:val="00F53CFF"/>
    <w:rPr>
      <w:i/>
      <w:iCs/>
      <w:color w:val="0F4761" w:themeColor="accent1" w:themeShade="BF"/>
    </w:rPr>
  </w:style>
  <w:style w:type="paragraph" w:styleId="IntenseQuote">
    <w:name w:val="Intense Quote"/>
    <w:basedOn w:val="Normal"/>
    <w:next w:val="Normal"/>
    <w:link w:val="IntenseQuoteChar"/>
    <w:uiPriority w:val="30"/>
    <w:qFormat/>
    <w:rsid w:val="00F53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CFF"/>
    <w:rPr>
      <w:i/>
      <w:iCs/>
      <w:color w:val="0F4761" w:themeColor="accent1" w:themeShade="BF"/>
    </w:rPr>
  </w:style>
  <w:style w:type="character" w:styleId="IntenseReference">
    <w:name w:val="Intense Reference"/>
    <w:basedOn w:val="DefaultParagraphFont"/>
    <w:uiPriority w:val="32"/>
    <w:qFormat/>
    <w:rsid w:val="00F53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4</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Blizzard</dc:creator>
  <cp:keywords/>
  <dc:description/>
  <cp:lastModifiedBy>Evan Blizzard</cp:lastModifiedBy>
  <cp:revision>4</cp:revision>
  <dcterms:created xsi:type="dcterms:W3CDTF">2026-08-28T18:51:00Z</dcterms:created>
  <dcterms:modified xsi:type="dcterms:W3CDTF">2026-09-02T00:26:00Z</dcterms:modified>
</cp:coreProperties>
</file>