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10C" w:rsidRPr="005070F8" w:rsidRDefault="00E2310C" w:rsidP="005070F8">
      <w:pPr>
        <w:spacing w:line="480" w:lineRule="auto"/>
        <w:jc w:val="center"/>
        <w:rPr>
          <w:b/>
        </w:rPr>
      </w:pPr>
      <w:r w:rsidRPr="00E2310C">
        <w:rPr>
          <w:b/>
        </w:rPr>
        <w:t xml:space="preserve">Dynamic Spillovers in Price Volatility </w:t>
      </w:r>
      <w:proofErr w:type="gramStart"/>
      <w:r w:rsidRPr="00E2310C">
        <w:rPr>
          <w:b/>
        </w:rPr>
        <w:t>Across</w:t>
      </w:r>
      <w:proofErr w:type="gramEnd"/>
      <w:r w:rsidRPr="00E2310C">
        <w:rPr>
          <w:b/>
        </w:rPr>
        <w:t xml:space="preserve"> Bitcoin Exchanges</w:t>
      </w:r>
    </w:p>
    <w:p w:rsidR="005070F8" w:rsidRDefault="005070F8" w:rsidP="009C643D">
      <w:pPr>
        <w:spacing w:line="480" w:lineRule="auto"/>
        <w:rPr>
          <w:b/>
        </w:rPr>
      </w:pPr>
    </w:p>
    <w:p w:rsidR="00E2310C" w:rsidRDefault="00E2310C" w:rsidP="009C643D">
      <w:pPr>
        <w:spacing w:line="480" w:lineRule="auto"/>
      </w:pPr>
      <w:r>
        <w:rPr>
          <w:b/>
        </w:rPr>
        <w:t>Abstract.</w:t>
      </w:r>
      <w:r>
        <w:t xml:space="preserve"> Quantitative work on Bitcoin’s price volatility has analyzed returns aggregated daily across exchanges, yet the specific price dynamics between these institutions has gone unstudied. This research examines the existence and behavior of spillover effects in price volatility across exchanges. Consistent with the financial literature, we use MGARCH variants to model spillover. We find that spillovers propagate efficiently between large exchanges, but generally weaken when traveling to small ones. We also show that correlations in volatility evolve over time.</w:t>
      </w:r>
    </w:p>
    <w:p w:rsidR="005070F8" w:rsidRDefault="005070F8" w:rsidP="009C643D">
      <w:pPr>
        <w:spacing w:line="480" w:lineRule="auto"/>
      </w:pPr>
    </w:p>
    <w:p w:rsidR="005070F8" w:rsidRDefault="005070F8" w:rsidP="009C643D">
      <w:pPr>
        <w:spacing w:line="480" w:lineRule="auto"/>
      </w:pPr>
      <w:r>
        <w:rPr>
          <w:b/>
        </w:rPr>
        <w:t>1. Introduction</w:t>
      </w:r>
    </w:p>
    <w:p w:rsidR="007D1FEB" w:rsidRDefault="007D1FEB" w:rsidP="00ED5341">
      <w:pPr>
        <w:spacing w:line="480" w:lineRule="auto"/>
      </w:pPr>
      <w:r>
        <w:t xml:space="preserve">Bitcoin is a peer-to-peer virtual currency introduced by the pseudonymous Satoshi Nakamoto (2009) that uses cryptography to verify payments, record transactions, and store monetary value. The perceived benefits of Bitcoin are privacy, convenient foreign currency exchange, and political freedom from centralized governance. Although the currency has not yet become </w:t>
      </w:r>
      <w:proofErr w:type="gramStart"/>
      <w:r>
        <w:t>mainstream</w:t>
      </w:r>
      <w:proofErr w:type="gramEnd"/>
      <w:r>
        <w:t xml:space="preserve"> in the US, Bitcoin nevertheless wields a market capitalization of several billion USD, with 40 million to 100 million USD in transaction volume per day (Blockchain.info). In recent years, the cryptocurrency gained some traction: the massive payments platform PayPal introduced support for Bitcoin (Cutler 2014), and Bitcoin ATMs appeared in the US (Jervis 2014).</w:t>
      </w:r>
    </w:p>
    <w:p w:rsidR="007D1FEB" w:rsidRDefault="007D1FEB" w:rsidP="007D1FEB">
      <w:pPr>
        <w:spacing w:line="480" w:lineRule="auto"/>
        <w:ind w:firstLine="720"/>
      </w:pPr>
      <w:r>
        <w:t xml:space="preserve">Over the last five years, however, skyrocketing price volatility has curbed Bitcoin's growing popularity. For instance, in 2014, the USD value of Bitcoin plummeted from $1000 to $300, with some months experiencing drops of almost $300 (Blockchain.info). Some parties, </w:t>
      </w:r>
      <w:r>
        <w:lastRenderedPageBreak/>
        <w:t>including some economists (</w:t>
      </w:r>
      <w:proofErr w:type="spellStart"/>
      <w:r>
        <w:t>Yermack</w:t>
      </w:r>
      <w:proofErr w:type="spellEnd"/>
      <w:r>
        <w:t xml:space="preserve"> 2013) and the press (Tucker 2013), argue that high volatility will ultimately invalidate the currency as a unit of account. Others (Lee 2014) believe Bitcoin will eventually stabilize as mainstream adoption increases and the novelty of cryptocurrencies wears off. </w:t>
      </w:r>
    </w:p>
    <w:p w:rsidR="007D1FEB" w:rsidRDefault="007D1FEB" w:rsidP="001542C8">
      <w:pPr>
        <w:spacing w:line="480" w:lineRule="auto"/>
        <w:ind w:firstLine="720"/>
      </w:pPr>
      <w:r>
        <w:t xml:space="preserve">Currently, around 80 Bitcoin exchanges facilitate conversion between Bitcoin and fiat currencies (Planet Bitcoin). The largest are </w:t>
      </w:r>
      <w:proofErr w:type="spellStart"/>
      <w:r>
        <w:t>Bitfinex</w:t>
      </w:r>
      <w:proofErr w:type="spellEnd"/>
      <w:r>
        <w:t xml:space="preserve">, </w:t>
      </w:r>
      <w:proofErr w:type="spellStart"/>
      <w:r>
        <w:t>Bitstamp</w:t>
      </w:r>
      <w:proofErr w:type="spellEnd"/>
      <w:r>
        <w:t>, and BTC-e, which each transfer between $100,000 and $1,000,000 in Bitcoin daily (Rivera 2014). Although relatively smooth over long time periods, short run price movements and volatilities can differ dramatically across exchanges. This exchange-specific BTC/USD data is vast, structured, and updated daily (Coindesk.com). However, to our knowledge, nothing in the current literature has thoroughly studied these large datasets. Past work on Bitcoin volatility has historically aggregated the price series across exchanges, thereby losing microeconomic information from the cross-exchange dynamics. Moreover, the scant existing work on Bitcoin exchanges generally does not venture beyond interpreting summary statistics (</w:t>
      </w:r>
      <w:proofErr w:type="spellStart"/>
      <w:r>
        <w:t>Petrov</w:t>
      </w:r>
      <w:proofErr w:type="spellEnd"/>
      <w:r>
        <w:t xml:space="preserve"> &amp; </w:t>
      </w:r>
      <w:proofErr w:type="spellStart"/>
      <w:r>
        <w:t>Schu</w:t>
      </w:r>
      <w:proofErr w:type="spellEnd"/>
      <w:r>
        <w:t>a 2013). This paper aims to introduce familiar volatility analysis into the understudied field of Bitcoin exchanges and thereby lay a foundation for future quantitative study.</w:t>
      </w:r>
    </w:p>
    <w:p w:rsidR="001542C8" w:rsidRDefault="001542C8" w:rsidP="001542C8">
      <w:pPr>
        <w:spacing w:line="480" w:lineRule="auto"/>
        <w:ind w:firstLine="720"/>
      </w:pPr>
    </w:p>
    <w:p w:rsidR="001542C8" w:rsidRDefault="00B04E6F" w:rsidP="00B04E6F">
      <w:pPr>
        <w:spacing w:line="480" w:lineRule="auto"/>
      </w:pPr>
      <w:r>
        <w:rPr>
          <w:b/>
        </w:rPr>
        <w:t>2. Literature Review</w:t>
      </w:r>
    </w:p>
    <w:p w:rsidR="00B04E6F" w:rsidRDefault="00B04E6F" w:rsidP="00ED5341">
      <w:pPr>
        <w:spacing w:line="480" w:lineRule="auto"/>
      </w:pPr>
      <w:r w:rsidRPr="00B04E6F">
        <w:t>Cryptocurrencies are very much a new area of research, particularly in economics. Many papers (</w:t>
      </w:r>
      <w:proofErr w:type="spellStart"/>
      <w:r w:rsidRPr="00B04E6F">
        <w:t>Meiklejohn</w:t>
      </w:r>
      <w:proofErr w:type="spellEnd"/>
      <w:r w:rsidRPr="00B04E6F">
        <w:t xml:space="preserve"> et al. 2013; Reid &amp; </w:t>
      </w:r>
      <w:proofErr w:type="spellStart"/>
      <w:r w:rsidRPr="00B04E6F">
        <w:t>Harrigan</w:t>
      </w:r>
      <w:proofErr w:type="spellEnd"/>
      <w:r w:rsidRPr="00B04E6F">
        <w:t xml:space="preserve"> 2013; Christin 2013) are concerned with transaction anonymity, while others focus on Bitcoin's unique computational characteristics, such as the blockchain1 (Barber et al. 2012). </w:t>
      </w:r>
      <w:proofErr w:type="spellStart"/>
      <w:r w:rsidRPr="00B04E6F">
        <w:t>Felten</w:t>
      </w:r>
      <w:proofErr w:type="spellEnd"/>
      <w:r w:rsidRPr="00B04E6F">
        <w:t xml:space="preserve"> et al. (2013), however, examine from a game theoretic perspective how miner collusion might threaten the integrity of the Bitcoin protocol. Although </w:t>
      </w:r>
      <w:r w:rsidRPr="00B04E6F">
        <w:lastRenderedPageBreak/>
        <w:t xml:space="preserve">Bitcoin's infamous price volatility is frequently mentioned in cryptocurrency literature, little quantitative analysis exists. Some Reed College students (Buchholz et al. 2012) used GARCH variants to test whether volatility affected the price mean. They found statistically significant effects for certain historical bubble periods, concluding that positive shocks generally produced more volatility than negative ones. </w:t>
      </w:r>
      <w:proofErr w:type="spellStart"/>
      <w:r w:rsidRPr="00B04E6F">
        <w:t>Yermack</w:t>
      </w:r>
      <w:proofErr w:type="spellEnd"/>
      <w:r w:rsidRPr="00B04E6F">
        <w:t xml:space="preserve"> (2013) finds little correlation between daily movements in Bitcoin and those in European fiat currencies, while another paper (</w:t>
      </w:r>
      <w:proofErr w:type="spellStart"/>
      <w:r w:rsidRPr="00B04E6F">
        <w:t>Sapuric</w:t>
      </w:r>
      <w:proofErr w:type="spellEnd"/>
      <w:r w:rsidRPr="00B04E6F">
        <w:t xml:space="preserve"> &amp; </w:t>
      </w:r>
      <w:proofErr w:type="spellStart"/>
      <w:r w:rsidRPr="00B04E6F">
        <w:t>Kokkinaki</w:t>
      </w:r>
      <w:proofErr w:type="spellEnd"/>
      <w:r w:rsidRPr="00B04E6F">
        <w:t xml:space="preserve"> 2014) adjusts the effect of price volatility for daily transaction volume and consequently finds that the price movements smooth. Nevertheless, past volatility work has neither analyzed intraday or high</w:t>
      </w:r>
      <w:r>
        <w:t xml:space="preserve"> </w:t>
      </w:r>
      <w:r w:rsidRPr="00B04E6F">
        <w:t xml:space="preserve">frequency data nor tested for cross-exchange effects. Even more meager research exists on specific exchanges. Moore and Christin (2013) studied daily data from 40 of these in order to determine why some close down. With a proportional hazards model, they find that large transaction volume is the best predictor of long lifetimes for exchanges. </w:t>
      </w:r>
      <w:proofErr w:type="spellStart"/>
      <w:r w:rsidRPr="00B04E6F">
        <w:t>Petrov</w:t>
      </w:r>
      <w:proofErr w:type="spellEnd"/>
      <w:r w:rsidRPr="00B04E6F">
        <w:t xml:space="preserve"> and </w:t>
      </w:r>
      <w:proofErr w:type="spellStart"/>
      <w:r w:rsidRPr="00B04E6F">
        <w:t>Schufla</w:t>
      </w:r>
      <w:proofErr w:type="spellEnd"/>
      <w:r w:rsidRPr="00B04E6F">
        <w:t xml:space="preserve"> (2013) discuss potential arbitrage opportunities for 2-3 exchanges, but do not investigate beyond summary statistics.</w:t>
      </w:r>
    </w:p>
    <w:p w:rsidR="00B04E6F" w:rsidRDefault="00B04E6F" w:rsidP="00B04E6F">
      <w:pPr>
        <w:spacing w:line="480" w:lineRule="auto"/>
        <w:ind w:firstLine="720"/>
      </w:pPr>
      <w:r w:rsidRPr="00B04E6F">
        <w:t xml:space="preserve">Despite this dearth of Bitcoin-specific analysis, one can find much discussion about cross-market volatility effects in the general financial literature. In a highly-cited paper, </w:t>
      </w:r>
      <w:proofErr w:type="spellStart"/>
      <w:r w:rsidRPr="00B04E6F">
        <w:t>Hamao</w:t>
      </w:r>
      <w:proofErr w:type="spellEnd"/>
      <w:r w:rsidRPr="00B04E6F">
        <w:t xml:space="preserve"> et al. (1990) use a modified GARCH (Generalized Autoregressive Conditional </w:t>
      </w:r>
      <w:proofErr w:type="spellStart"/>
      <w:r w:rsidRPr="00B04E6F">
        <w:t>Heteroskedasticity</w:t>
      </w:r>
      <w:proofErr w:type="spellEnd"/>
      <w:r w:rsidRPr="00B04E6F">
        <w:t>) to examine \spillover effects" for prices in three US, UK, and Japanese stock exchanges. They find that volatility in the larger New York exchange significantly impacts volatility in the smaller Tokyo one2. Since then, many multivariate GARCH (MGARCH) models have been developed to capture more complex effects, such as asymmetric movements and time-varying correlations, and have been applied to markets for stocks, bonds, and commodities (</w:t>
      </w:r>
      <w:proofErr w:type="spellStart"/>
      <w:r w:rsidRPr="00B04E6F">
        <w:t>Ledoit</w:t>
      </w:r>
      <w:proofErr w:type="spellEnd"/>
      <w:r w:rsidRPr="00B04E6F">
        <w:t xml:space="preserve"> et al. 2003; Xiao &amp; </w:t>
      </w:r>
      <w:proofErr w:type="spellStart"/>
      <w:r w:rsidRPr="00B04E6F">
        <w:t>Dhesi</w:t>
      </w:r>
      <w:proofErr w:type="spellEnd"/>
      <w:r w:rsidRPr="00B04E6F">
        <w:t xml:space="preserve"> 2010). In this paper, we test for spillover effects </w:t>
      </w:r>
      <w:r w:rsidRPr="00B04E6F">
        <w:lastRenderedPageBreak/>
        <w:t xml:space="preserve">in price volatility across eight Bitcoin exchanges of various sizes. In particular, we draw upon the work of </w:t>
      </w:r>
      <w:proofErr w:type="spellStart"/>
      <w:r w:rsidRPr="00B04E6F">
        <w:t>Chevallier</w:t>
      </w:r>
      <w:proofErr w:type="spellEnd"/>
      <w:r w:rsidRPr="00B04E6F">
        <w:t xml:space="preserve"> (2012), who studies time-varying correlations in oil, gas, and carbon dioxide prices through the BEKK, CCC, and DCC variants of MGARCH. In addition to searching for volatility spillover, we show that leakages across the larger exchanges demonstrate high market efficiency, and that these effects usually weaken when propagating to smaller institutions. We show that correlations in volatility change over time. Finally, we interpret the spillover coefficients to determine which exchanges are the largest volatility transmitters, and in general, understand where volatility travels within the Bitcoin ecosystem.</w:t>
      </w:r>
    </w:p>
    <w:p w:rsidR="00B85EEC" w:rsidRDefault="00B85EEC" w:rsidP="00B85EEC">
      <w:pPr>
        <w:spacing w:line="480" w:lineRule="auto"/>
      </w:pPr>
    </w:p>
    <w:p w:rsidR="00B85EEC" w:rsidRDefault="00B85EEC" w:rsidP="00B85EEC">
      <w:pPr>
        <w:spacing w:line="480" w:lineRule="auto"/>
      </w:pPr>
      <w:r>
        <w:rPr>
          <w:b/>
        </w:rPr>
        <w:t>3. Data</w:t>
      </w:r>
    </w:p>
    <w:p w:rsidR="00B85EEC" w:rsidRDefault="00ED5341" w:rsidP="00B85EEC">
      <w:pPr>
        <w:spacing w:line="480" w:lineRule="auto"/>
      </w:pPr>
      <w:r w:rsidRPr="00ED5341">
        <w:t xml:space="preserve">Most Bitcoin papers focus on daily data aggregated across exchanges, which is easier to find, usually through popular cryptocurrency data providers such as blockchain.info. However, we examine higher-frequency data for 7 major USD/Bitcoin exchanges as well as a smaller Chinese one: </w:t>
      </w:r>
      <w:proofErr w:type="spellStart"/>
      <w:r w:rsidRPr="00ED5341">
        <w:t>Bitfinex</w:t>
      </w:r>
      <w:proofErr w:type="spellEnd"/>
      <w:r w:rsidRPr="00ED5341">
        <w:t xml:space="preserve">, ANXBTC, </w:t>
      </w:r>
      <w:proofErr w:type="spellStart"/>
      <w:r w:rsidRPr="00ED5341">
        <w:t>Bitstamp</w:t>
      </w:r>
      <w:proofErr w:type="spellEnd"/>
      <w:r w:rsidRPr="00ED5341">
        <w:t xml:space="preserve">, LakeBTC.com, </w:t>
      </w:r>
      <w:proofErr w:type="spellStart"/>
      <w:r w:rsidRPr="00ED5341">
        <w:t>HitBTC</w:t>
      </w:r>
      <w:proofErr w:type="spellEnd"/>
      <w:r w:rsidRPr="00ED5341">
        <w:t xml:space="preserve">, </w:t>
      </w:r>
      <w:proofErr w:type="spellStart"/>
      <w:r w:rsidRPr="00ED5341">
        <w:t>itBit</w:t>
      </w:r>
      <w:proofErr w:type="spellEnd"/>
      <w:r w:rsidRPr="00ED5341">
        <w:t xml:space="preserve">, Kraken, and 1coin.com. We rank them by transaction volume in USD in the last 30 days, and for computational ease, omit </w:t>
      </w:r>
      <w:proofErr w:type="spellStart"/>
      <w:r w:rsidRPr="00ED5341">
        <w:t>OKCoin</w:t>
      </w:r>
      <w:proofErr w:type="spellEnd"/>
      <w:r w:rsidRPr="00ED5341">
        <w:t xml:space="preserve">, BTC-e, </w:t>
      </w:r>
      <w:proofErr w:type="spellStart"/>
      <w:r w:rsidRPr="00ED5341">
        <w:t>BTCChina</w:t>
      </w:r>
      <w:proofErr w:type="spellEnd"/>
      <w:r w:rsidRPr="00ED5341">
        <w:t xml:space="preserve">, </w:t>
      </w:r>
      <w:proofErr w:type="spellStart"/>
      <w:r w:rsidRPr="00ED5341">
        <w:t>Huobi</w:t>
      </w:r>
      <w:proofErr w:type="spellEnd"/>
      <w:r w:rsidRPr="00ED5341">
        <w:t xml:space="preserve">, and the defunct Mt. </w:t>
      </w:r>
      <w:proofErr w:type="spellStart"/>
      <w:r w:rsidRPr="00ED5341">
        <w:t>Go</w:t>
      </w:r>
      <w:r w:rsidR="00AC5056">
        <w:t>x</w:t>
      </w:r>
      <w:proofErr w:type="spellEnd"/>
      <w:r w:rsidR="00AC5056">
        <w:t xml:space="preserve">. Table </w:t>
      </w:r>
      <w:r w:rsidRPr="00ED5341">
        <w:t>1 below describes the total market cap for each of our exchanges (Bitcoinity.org).</w:t>
      </w:r>
    </w:p>
    <w:p w:rsidR="00AC5056" w:rsidRDefault="00AC5056" w:rsidP="00B85EEC">
      <w:pPr>
        <w:spacing w:line="480" w:lineRule="auto"/>
      </w:pPr>
      <w:r>
        <w:t>[</w:t>
      </w:r>
      <w:proofErr w:type="gramStart"/>
      <w:r>
        <w:t>table</w:t>
      </w:r>
      <w:proofErr w:type="gramEnd"/>
      <w:r>
        <w:t xml:space="preserve"> 1]</w:t>
      </w:r>
    </w:p>
    <w:p w:rsidR="00AC5056" w:rsidRDefault="00127FDD" w:rsidP="00127FDD">
      <w:pPr>
        <w:spacing w:line="480" w:lineRule="auto"/>
        <w:ind w:firstLine="720"/>
      </w:pPr>
      <w:r w:rsidRPr="00127FDD">
        <w:t>In each exchange, the full history of the BTC/USD exchange rate is recorded as an irregular time series. This data is updated daily at bitcoincharts.com, and can be accessed in a backend file archive for bulk download (</w:t>
      </w:r>
      <w:proofErr w:type="spellStart"/>
      <w:r w:rsidRPr="00127FDD">
        <w:t>Bitcoincharts</w:t>
      </w:r>
      <w:proofErr w:type="spellEnd"/>
      <w:r w:rsidRPr="00127FDD">
        <w:t xml:space="preserve">. com). The name of each exchange's BTC/USD dataset contains the exchange name followed by the currency: for example, </w:t>
      </w:r>
      <w:proofErr w:type="spellStart"/>
      <w:r w:rsidRPr="00127FDD">
        <w:t>Bitfinex's</w:t>
      </w:r>
      <w:proofErr w:type="spellEnd"/>
      <w:r w:rsidRPr="00127FDD">
        <w:t xml:space="preserve"> file is .</w:t>
      </w:r>
      <w:proofErr w:type="spellStart"/>
      <w:r w:rsidRPr="00127FDD">
        <w:t>bitfinexUSD</w:t>
      </w:r>
      <w:proofErr w:type="spellEnd"/>
      <w:r w:rsidRPr="00127FDD">
        <w:t xml:space="preserve">. </w:t>
      </w:r>
      <w:proofErr w:type="gramStart"/>
      <w:r w:rsidRPr="00127FDD">
        <w:t>csv.gz</w:t>
      </w:r>
      <w:proofErr w:type="gramEnd"/>
      <w:r w:rsidRPr="00127FDD">
        <w:t xml:space="preserve"> indicating a compressed .</w:t>
      </w:r>
      <w:proofErr w:type="spellStart"/>
      <w:r w:rsidRPr="00127FDD">
        <w:t>gz</w:t>
      </w:r>
      <w:proofErr w:type="spellEnd"/>
      <w:r w:rsidRPr="00127FDD">
        <w:t xml:space="preserve"> form. A quick cross-check of the recent </w:t>
      </w:r>
      <w:r w:rsidRPr="00127FDD">
        <w:lastRenderedPageBreak/>
        <w:t xml:space="preserve">BTC/USD prices for </w:t>
      </w:r>
      <w:proofErr w:type="spellStart"/>
      <w:r w:rsidRPr="00127FDD">
        <w:t>Bitstamp</w:t>
      </w:r>
      <w:proofErr w:type="spellEnd"/>
      <w:r w:rsidRPr="00127FDD">
        <w:t xml:space="preserve"> on both bitcoincharts.com and </w:t>
      </w:r>
      <w:proofErr w:type="spellStart"/>
      <w:r w:rsidRPr="00127FDD">
        <w:t>Bitstamp's</w:t>
      </w:r>
      <w:proofErr w:type="spellEnd"/>
      <w:r w:rsidRPr="00127FDD">
        <w:t xml:space="preserve"> official Twitter feed ensures the reliability of the data (http://www.twitter.com/ </w:t>
      </w:r>
      <w:proofErr w:type="spellStart"/>
      <w:r w:rsidRPr="00127FDD">
        <w:t>bitstampusd</w:t>
      </w:r>
      <w:proofErr w:type="spellEnd"/>
      <w:r w:rsidRPr="00127FDD">
        <w:t>). Market caps can also be viewed in a graphical pie chart online (http://www.bitcoincharts.com/charts/volumepie). Intervals in these irregular time series range from every few seconds to several hours or more. As of March 2015, the datasets ranged from approximately 40,000 to 6.5 million observations. Table 2 below shows summary statistics for each series up through March 2015.</w:t>
      </w:r>
    </w:p>
    <w:p w:rsidR="007E476A" w:rsidRDefault="007E476A" w:rsidP="00127FDD">
      <w:pPr>
        <w:spacing w:line="480" w:lineRule="auto"/>
        <w:ind w:firstLine="720"/>
      </w:pPr>
      <w:r>
        <w:t>[</w:t>
      </w:r>
      <w:proofErr w:type="gramStart"/>
      <w:r>
        <w:t>table</w:t>
      </w:r>
      <w:proofErr w:type="gramEnd"/>
      <w:r>
        <w:t xml:space="preserve"> 2]</w:t>
      </w:r>
    </w:p>
    <w:p w:rsidR="007E476A" w:rsidRDefault="006E002B" w:rsidP="006E002B">
      <w:pPr>
        <w:spacing w:line="480" w:lineRule="auto"/>
      </w:pPr>
      <w:r w:rsidRPr="006E002B">
        <w:t xml:space="preserve">Although all series follow the same general moving price average, exchange-specific variance explains why summary statistics sometimes differ dramatically. Figure 2 (Appendix) shows the </w:t>
      </w:r>
      <w:proofErr w:type="spellStart"/>
      <w:r w:rsidRPr="006E002B">
        <w:t>Bitstamp</w:t>
      </w:r>
      <w:proofErr w:type="spellEnd"/>
      <w:r w:rsidRPr="006E002B">
        <w:t xml:space="preserve"> and Kraken series during the same time period (11/15/14-11/18/14). As expected, both exhibit similar trend but dissimilar volatility, and the time between transactions is much longer in the smaller Kraken exchange.</w:t>
      </w:r>
    </w:p>
    <w:p w:rsidR="000E4182" w:rsidRDefault="000E4182" w:rsidP="000E4182">
      <w:pPr>
        <w:spacing w:line="480" w:lineRule="auto"/>
        <w:ind w:firstLine="720"/>
      </w:pPr>
      <w:r w:rsidRPr="000E4182">
        <w:t>Many time series methods require perfectly aligned intervals across multiple series.</w:t>
      </w:r>
      <w:r>
        <w:t xml:space="preserve"> </w:t>
      </w:r>
      <w:r w:rsidRPr="000E4182">
        <w:t>We use intraday averages (every 3 hours) to align the Bitcoin datasets.</w:t>
      </w:r>
      <w:r>
        <w:t xml:space="preserve"> </w:t>
      </w:r>
      <w:r w:rsidRPr="000E4182">
        <w:t>We</w:t>
      </w:r>
      <w:r w:rsidR="00A93AB2">
        <w:t xml:space="preserve"> s</w:t>
      </w:r>
      <w:r w:rsidR="00630037">
        <w:t>tudy the recent period 4/1/14-</w:t>
      </w:r>
      <w:r w:rsidRPr="000E4182">
        <w:t>3/20/15 when all exchanges were active, which produces eight series of approximately 3,000 observations each. Nevertheless, simple intraday means may produce complex biases, and so future work should investigate more sophisticated approaches for handling this systematic diff</w:t>
      </w:r>
      <w:r w:rsidR="00B76925">
        <w:t>i</w:t>
      </w:r>
      <w:r w:rsidRPr="000E4182">
        <w:t>culty (</w:t>
      </w:r>
      <w:proofErr w:type="spellStart"/>
      <w:r w:rsidRPr="000E4182">
        <w:t>Eckner</w:t>
      </w:r>
      <w:proofErr w:type="spellEnd"/>
      <w:r w:rsidRPr="000E4182">
        <w:t xml:space="preserve"> 2014).</w:t>
      </w:r>
    </w:p>
    <w:p w:rsidR="00341FA7" w:rsidRDefault="00341FA7" w:rsidP="000E4182">
      <w:pPr>
        <w:spacing w:line="480" w:lineRule="auto"/>
        <w:ind w:firstLine="720"/>
      </w:pPr>
    </w:p>
    <w:p w:rsidR="00341FA7" w:rsidRDefault="00525B35" w:rsidP="00525B35">
      <w:pPr>
        <w:spacing w:line="480" w:lineRule="auto"/>
      </w:pPr>
      <w:r>
        <w:rPr>
          <w:b/>
        </w:rPr>
        <w:t>4. Methodology</w:t>
      </w:r>
    </w:p>
    <w:p w:rsidR="00525B35" w:rsidRDefault="00872D95" w:rsidP="00525B35">
      <w:pPr>
        <w:spacing w:line="480" w:lineRule="auto"/>
        <w:rPr>
          <w:rFonts w:eastAsiaTheme="minorEastAsia"/>
        </w:rPr>
      </w:pPr>
      <w:r>
        <w:t>Recall that the univariate GARCH</w:t>
      </w:r>
      <m:oMath>
        <m:r>
          <w:rPr>
            <w:rFonts w:ascii="Cambria Math" w:hAnsi="Cambria Math"/>
          </w:rPr>
          <m:t>(p,q)</m:t>
        </m:r>
      </m:oMath>
      <w:r>
        <w:t xml:space="preserve"> model expresses the conditional variance at time</w:t>
      </w:r>
      <m:oMath>
        <m:r>
          <w:rPr>
            <w:rFonts w:ascii="Cambria Math" w:hAnsi="Cambria Math"/>
          </w:rPr>
          <m:t xml:space="preserve"> t</m:t>
        </m:r>
      </m:oMath>
      <w:r>
        <w:rPr>
          <w:rFonts w:eastAsiaTheme="minorEastAsia"/>
        </w:rPr>
        <w:t xml:space="preserve"> as a linear function of past mean-corrected returns (the residual returns) and conditional variances:</w:t>
      </w:r>
    </w:p>
    <w:p w:rsidR="005327F0" w:rsidRDefault="005327F0" w:rsidP="00525B35">
      <w:pPr>
        <w:spacing w:line="480" w:lineRule="auto"/>
        <w:rPr>
          <w:rFonts w:ascii="Cambria Math" w:hAnsi="Cambria Math"/>
          <w:oMath/>
        </w:rPr>
        <w:sectPr w:rsidR="005327F0">
          <w:footerReference w:type="default" r:id="rId8"/>
          <w:pgSz w:w="12240" w:h="15840"/>
          <w:pgMar w:top="1440" w:right="1440" w:bottom="1440" w:left="1440" w:header="720" w:footer="720" w:gutter="0"/>
          <w:cols w:space="720"/>
          <w:docGrid w:linePitch="360"/>
        </w:sectPr>
      </w:pPr>
    </w:p>
    <w:p w:rsidR="005327F0" w:rsidRPr="005327F0" w:rsidRDefault="005327F0" w:rsidP="00525B35">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5327F0" w:rsidRPr="005327F0" w:rsidRDefault="005327F0" w:rsidP="00525B35">
      <w:pPr>
        <w:spacing w:line="480" w:lineRule="auto"/>
        <w:rPr>
          <w:rFonts w:eastAsiaTheme="minorEastAsia"/>
        </w:rPr>
      </w:pPr>
      <m:oMathPara>
        <m:oMath>
          <m:r>
            <w:rPr>
              <w:rFonts w:ascii="Cambria Math" w:eastAsiaTheme="minorEastAsia" w:hAnsi="Cambria Math"/>
            </w:rPr>
            <w:lastRenderedPageBreak/>
            <m:t>ϵ=</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m:t>
              </m:r>
            </m:sub>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~N(0,1)</m:t>
          </m:r>
        </m:oMath>
      </m:oMathPara>
    </w:p>
    <w:p w:rsidR="005327F0" w:rsidRPr="005327F0" w:rsidRDefault="005327F0" w:rsidP="00525B35">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t-j</m:t>
                  </m:r>
                </m:sub>
              </m:sSub>
            </m:e>
          </m:nary>
        </m:oMath>
      </m:oMathPara>
    </w:p>
    <w:p w:rsidR="005327F0" w:rsidRDefault="005327F0" w:rsidP="00525B35">
      <w:pPr>
        <w:spacing w:line="480" w:lineRule="auto"/>
        <w:rPr>
          <w:rFonts w:eastAsiaTheme="minorEastAsia"/>
        </w:rPr>
        <w:sectPr w:rsidR="005327F0" w:rsidSect="005327F0">
          <w:type w:val="continuous"/>
          <w:pgSz w:w="12240" w:h="15840"/>
          <w:pgMar w:top="1440" w:right="1440" w:bottom="1440" w:left="1440" w:header="720" w:footer="720" w:gutter="0"/>
          <w:cols w:space="720"/>
          <w:docGrid w:linePitch="360"/>
        </w:sectPr>
      </w:pPr>
    </w:p>
    <w:p w:rsidR="005327F0" w:rsidRDefault="0040703A" w:rsidP="00525B35">
      <w:pPr>
        <w:spacing w:line="480" w:lineRule="auto"/>
        <w:rPr>
          <w:rFonts w:eastAsiaTheme="minorEastAsia"/>
        </w:rPr>
      </w:pPr>
      <w:r>
        <w:rPr>
          <w:rFonts w:eastAsiaTheme="minorEastAsia"/>
        </w:rPr>
        <w:lastRenderedPageBreak/>
        <w:t>Thus, the GARCH</w:t>
      </w:r>
      <m:oMath>
        <m:r>
          <w:rPr>
            <w:rFonts w:ascii="Cambria Math" w:eastAsiaTheme="minorEastAsia" w:hAnsi="Cambria Math"/>
          </w:rPr>
          <m:t>(1,1)</m:t>
        </m:r>
      </m:oMath>
      <w:r>
        <w:rPr>
          <w:rFonts w:eastAsiaTheme="minorEastAsia"/>
        </w:rPr>
        <w:t xml:space="preserve"> model is given by:</w:t>
      </w:r>
    </w:p>
    <w:p w:rsidR="0040703A" w:rsidRPr="0040703A" w:rsidRDefault="0040703A" w:rsidP="00525B35">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m:oMathPara>
    </w:p>
    <w:p w:rsidR="001D0441" w:rsidRDefault="001D0441" w:rsidP="00525B35">
      <w:pPr>
        <w:spacing w:line="480" w:lineRule="auto"/>
        <w:rPr>
          <w:rFonts w:eastAsiaTheme="minorEastAsia"/>
        </w:rPr>
      </w:pPr>
      <w:r>
        <w:rPr>
          <w:rFonts w:eastAsiaTheme="minorEastAsia"/>
        </w:rPr>
        <w:t>Above,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measures the average long-term (unconditional) volatility,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signifies how each volatility shock feeds into the next one. The quantity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is called the</w:t>
      </w:r>
      <w:r>
        <w:rPr>
          <w:rFonts w:eastAsiaTheme="minorEastAsia"/>
          <w:i/>
        </w:rPr>
        <w:t xml:space="preserve"> persistence</w:t>
      </w:r>
      <w:r>
        <w:rPr>
          <w:rFonts w:eastAsiaTheme="minorEastAsia"/>
        </w:rPr>
        <w:t>, which measures how quickly volatility shocks decay (Campbell 1997). When this equals one, volatility does not fad</w:t>
      </w:r>
      <w:r w:rsidR="0056260E">
        <w:rPr>
          <w:rFonts w:eastAsiaTheme="minorEastAsia"/>
        </w:rPr>
        <w:t>e ov</w:t>
      </w:r>
      <w:r w:rsidR="004D7AC3">
        <w:rPr>
          <w:rFonts w:eastAsiaTheme="minorEastAsia"/>
        </w:rPr>
        <w:t xml:space="preserve">er time (Beg &amp; Anwar 2014). </w:t>
      </w:r>
    </w:p>
    <w:p w:rsidR="004D7AC3" w:rsidRDefault="004D7AC3" w:rsidP="00525B35">
      <w:pPr>
        <w:spacing w:line="480" w:lineRule="auto"/>
        <w:rPr>
          <w:rFonts w:eastAsiaTheme="minorEastAsia"/>
        </w:rPr>
      </w:pPr>
      <w:r>
        <w:rPr>
          <w:rFonts w:eastAsiaTheme="minorEastAsia"/>
        </w:rPr>
        <w:tab/>
        <w:t>The multivariate case models volatility relationships across multiple series</w:t>
      </w:r>
      <w:r>
        <w:rPr>
          <w:rStyle w:val="FootnoteReference"/>
          <w:rFonts w:eastAsiaTheme="minorEastAsia"/>
        </w:rPr>
        <w:footnoteReference w:id="1"/>
      </w:r>
      <w:r>
        <w:rPr>
          <w:rFonts w:eastAsiaTheme="minorEastAsia"/>
        </w:rPr>
        <w:t>:</w:t>
      </w:r>
    </w:p>
    <w:p w:rsidR="004D7AC3" w:rsidRPr="004D7AC3" w:rsidRDefault="004D7AC3" w:rsidP="00525B35">
      <w:pPr>
        <w:spacing w:line="480" w:lineRule="auto"/>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ϵ</m:t>
              </m:r>
            </m:e>
            <m:sub>
              <m:r>
                <m:rPr>
                  <m:sty m:val="bi"/>
                </m:rPr>
                <w:rPr>
                  <w:rFonts w:ascii="Cambria Math" w:eastAsiaTheme="minorEastAsia" w:hAnsi="Cambria Math"/>
                </w:rPr>
                <m:t>t</m:t>
              </m:r>
            </m:sub>
          </m:sSub>
        </m:oMath>
      </m:oMathPara>
    </w:p>
    <w:p w:rsidR="004D7AC3" w:rsidRPr="004D7AC3" w:rsidRDefault="004D7AC3" w:rsidP="00525B35">
      <w:pPr>
        <w:spacing w:line="480" w:lineRule="auto"/>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ϵ</m:t>
              </m:r>
            </m:e>
            <m:sub>
              <m:r>
                <m:rPr>
                  <m:sty m:val="bi"/>
                </m:rPr>
                <w:rPr>
                  <w:rFonts w:ascii="Cambria Math" w:eastAsiaTheme="minorEastAsia" w:hAnsi="Cambria Math"/>
                </w:rPr>
                <m:t>t</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H</m:t>
              </m:r>
            </m:e>
            <m:sub>
              <m:r>
                <m:rPr>
                  <m:sty m:val="bi"/>
                </m:rPr>
                <w:rPr>
                  <w:rFonts w:ascii="Cambria Math" w:eastAsiaTheme="minorEastAsia" w:hAnsi="Cambria Math"/>
                </w:rPr>
                <m:t>t</m:t>
              </m:r>
            </m:sub>
            <m:sup>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up>
          </m:sSubSup>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r>
            <w:rPr>
              <w:rFonts w:ascii="Cambria Math" w:eastAsiaTheme="minorEastAsia" w:hAnsi="Cambria Math"/>
            </w:rPr>
            <m:t>E</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t</m:t>
                  </m:r>
                </m:sub>
              </m:sSub>
            </m:e>
          </m:d>
          <m:r>
            <w:rPr>
              <w:rFonts w:ascii="Cambria Math" w:eastAsiaTheme="minorEastAsia" w:hAnsi="Cambria Math"/>
            </w:rPr>
            <m:t>=0,V</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z</m:t>
                  </m:r>
                  <m:ctrlPr>
                    <w:rPr>
                      <w:rFonts w:ascii="Cambria Math" w:eastAsiaTheme="minorEastAsia" w:hAnsi="Cambria Math"/>
                      <w:i/>
                    </w:rPr>
                  </m:ctrlPr>
                </m:e>
                <m:sub>
                  <m:r>
                    <m:rPr>
                      <m:sty m:val="bi"/>
                    </m:rP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m:oMathPara>
    </w:p>
    <w:p w:rsidR="004D7AC3" w:rsidRDefault="00E7210F" w:rsidP="00525B35">
      <w:pPr>
        <w:spacing w:line="480" w:lineRule="auto"/>
        <w:rPr>
          <w:rFonts w:eastAsiaTheme="minorEastAsia"/>
        </w:rPr>
      </w:pPr>
      <w:r>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ctrlPr>
              <w:rPr>
                <w:rFonts w:ascii="Cambria Math" w:eastAsiaTheme="minorEastAsia" w:hAnsi="Cambria Math"/>
                <w:i/>
              </w:rPr>
            </m:ctrlPr>
          </m:e>
          <m:sub>
            <m:r>
              <m:rPr>
                <m:sty m:val="bi"/>
              </m:rPr>
              <w:rPr>
                <w:rFonts w:ascii="Cambria Math" w:eastAsiaTheme="minorEastAsia" w:hAnsi="Cambria Math"/>
              </w:rPr>
              <m:t>t</m:t>
            </m:r>
          </m:sub>
        </m:sSub>
      </m:oMath>
      <w:r>
        <w:rPr>
          <w:rFonts w:eastAsiaTheme="minorEastAsia"/>
        </w:rPr>
        <w:t xml:space="preserve"> is a</w:t>
      </w:r>
      <m:oMath>
        <m:r>
          <w:rPr>
            <w:rFonts w:ascii="Cambria Math" w:eastAsiaTheme="minorEastAsia" w:hAnsi="Cambria Math"/>
          </w:rPr>
          <m:t xml:space="preserve"> (m,1)</m:t>
        </m:r>
      </m:oMath>
      <w:r>
        <w:rPr>
          <w:rFonts w:eastAsiaTheme="minorEastAsia"/>
        </w:rPr>
        <w:t xml:space="preserve"> vector of returns for</w:t>
      </w:r>
      <m:oMath>
        <m:r>
          <w:rPr>
            <w:rFonts w:ascii="Cambria Math" w:eastAsiaTheme="minorEastAsia" w:hAnsi="Cambria Math"/>
          </w:rPr>
          <m:t xml:space="preserve"> m</m:t>
        </m:r>
      </m:oMath>
      <w:r>
        <w:rPr>
          <w:rFonts w:eastAsiaTheme="minorEastAsia"/>
        </w:rPr>
        <w:t xml:space="preserve"> series,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ctrlPr>
              <w:rPr>
                <w:rFonts w:ascii="Cambria Math" w:eastAsiaTheme="minorEastAsia" w:hAnsi="Cambria Math"/>
                <w:i/>
              </w:rPr>
            </m:ctrlP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ϵ</m:t>
            </m:r>
          </m:e>
          <m:sub>
            <m:r>
              <m:rPr>
                <m:sty m:val="bi"/>
              </m:rPr>
              <w:rPr>
                <w:rFonts w:ascii="Cambria Math" w:eastAsiaTheme="minorEastAsia" w:hAnsi="Cambria Math"/>
              </w:rPr>
              <m:t>t</m:t>
            </m:r>
          </m:sub>
        </m:sSub>
      </m:oMath>
      <w:r>
        <w:rPr>
          <w:rFonts w:eastAsiaTheme="minorEastAsia"/>
        </w:rPr>
        <w:t xml:space="preserve"> are</w:t>
      </w:r>
      <m:oMath>
        <m:r>
          <w:rPr>
            <w:rFonts w:ascii="Cambria Math" w:eastAsiaTheme="minorEastAsia" w:hAnsi="Cambria Math"/>
          </w:rPr>
          <m:t xml:space="preserve"> (m,1)</m:t>
        </m:r>
      </m:oMath>
      <w:r>
        <w:rPr>
          <w:rFonts w:eastAsiaTheme="minorEastAsia"/>
        </w:rPr>
        <w:t xml:space="preserve"> vecto</w:t>
      </w:r>
      <w:r w:rsidR="00A33FDE">
        <w:rPr>
          <w:rFonts w:eastAsiaTheme="minorEastAsia"/>
        </w:rPr>
        <w:t>rs for the means and residuals. As dimensionality increases, it becomes computationally infeasible to estimate the number of parameters and verify the involved covariance matrices are positive-definite. Consequently, a variety of methods for estimating the conditional covariance matrix</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ctrlPr>
              <w:rPr>
                <w:rFonts w:ascii="Cambria Math" w:eastAsiaTheme="minorEastAsia" w:hAnsi="Cambria Math"/>
                <w:i/>
              </w:rPr>
            </m:ctrlPr>
          </m:e>
          <m:sub>
            <m:r>
              <m:rPr>
                <m:sty m:val="bi"/>
              </m:rPr>
              <w:rPr>
                <w:rFonts w:ascii="Cambria Math" w:eastAsiaTheme="minorEastAsia" w:hAnsi="Cambria Math"/>
              </w:rPr>
              <m:t>t</m:t>
            </m:r>
          </m:sub>
        </m:sSub>
      </m:oMath>
      <w:r w:rsidR="00A33FDE">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A33FDE">
        <w:rPr>
          <w:rFonts w:eastAsiaTheme="minorEastAsia"/>
        </w:rPr>
        <w:t xml:space="preserve">) have appeared in the MGARCH literature. </w:t>
      </w:r>
      <w:r w:rsidR="00290A27">
        <w:rPr>
          <w:rFonts w:eastAsiaTheme="minorEastAsia"/>
        </w:rPr>
        <w:t>Some (VEC, BEKK) attempt to directly model</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ctrlPr>
              <w:rPr>
                <w:rFonts w:ascii="Cambria Math" w:eastAsiaTheme="minorEastAsia" w:hAnsi="Cambria Math"/>
                <w:i/>
              </w:rPr>
            </m:ctrlPr>
          </m:e>
          <m:sub>
            <m:r>
              <m:rPr>
                <m:sty m:val="bi"/>
              </m:rPr>
              <w:rPr>
                <w:rFonts w:ascii="Cambria Math" w:eastAsiaTheme="minorEastAsia" w:hAnsi="Cambria Math"/>
              </w:rPr>
              <m:t>t</m:t>
            </m:r>
          </m:sub>
        </m:sSub>
      </m:oMath>
      <w:r w:rsidR="00290A27">
        <w:rPr>
          <w:rFonts w:eastAsiaTheme="minorEastAsia"/>
        </w:rPr>
        <w:t>, while others (factor models) save computation by assuming the returns are generated by implicit conditionally heteroskedastic, GARCH-like processes (</w:t>
      </w:r>
      <w:proofErr w:type="spellStart"/>
      <w:r w:rsidR="00290A27">
        <w:rPr>
          <w:rFonts w:eastAsiaTheme="minorEastAsia"/>
        </w:rPr>
        <w:t>Silvennoinen</w:t>
      </w:r>
      <w:proofErr w:type="spellEnd"/>
      <w:r w:rsidR="00290A27">
        <w:rPr>
          <w:rFonts w:eastAsiaTheme="minorEastAsia"/>
        </w:rPr>
        <w:t xml:space="preserve"> &amp; </w:t>
      </w:r>
      <w:proofErr w:type="spellStart"/>
      <w:r w:rsidR="00290A27">
        <w:rPr>
          <w:rFonts w:eastAsiaTheme="minorEastAsia"/>
        </w:rPr>
        <w:t>Terasvirta</w:t>
      </w:r>
      <w:proofErr w:type="spellEnd"/>
      <w:r w:rsidR="00290A27">
        <w:rPr>
          <w:rFonts w:eastAsiaTheme="minorEastAsia"/>
        </w:rPr>
        <w:t xml:space="preserve"> 2009).</w:t>
      </w:r>
    </w:p>
    <w:p w:rsidR="00290A27" w:rsidRDefault="00E80584" w:rsidP="00525B35">
      <w:pPr>
        <w:spacing w:line="480" w:lineRule="auto"/>
        <w:rPr>
          <w:rFonts w:eastAsiaTheme="minorEastAsia"/>
        </w:rPr>
      </w:pPr>
      <w:r>
        <w:rPr>
          <w:rFonts w:eastAsiaTheme="minorEastAsia"/>
        </w:rPr>
        <w:tab/>
        <w:t>Correlation models instead decompose</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ctrlPr>
              <w:rPr>
                <w:rFonts w:ascii="Cambria Math" w:eastAsiaTheme="minorEastAsia" w:hAnsi="Cambria Math"/>
                <w:i/>
              </w:rPr>
            </m:ctrlPr>
          </m:e>
          <m:sub>
            <m:r>
              <m:rPr>
                <m:sty m:val="bi"/>
              </m:rPr>
              <w:rPr>
                <w:rFonts w:ascii="Cambria Math" w:eastAsiaTheme="minorEastAsia" w:hAnsi="Cambria Math"/>
              </w:rPr>
              <m:t>t</m:t>
            </m:r>
          </m:sub>
        </m:sSub>
      </m:oMath>
      <w:r>
        <w:rPr>
          <w:rFonts w:eastAsiaTheme="minorEastAsia"/>
        </w:rPr>
        <w:t xml:space="preserve"> into conditional standard deviations and correlations. Below is the definition of conditional correlation (Engle 2002):</w:t>
      </w:r>
    </w:p>
    <w:p w:rsidR="00481F7A" w:rsidRPr="000A2D53" w:rsidRDefault="00481F7A" w:rsidP="00525B35">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1,t</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2,t</m:t>
                          </m:r>
                        </m:sub>
                        <m:sup>
                          <m:r>
                            <w:rPr>
                              <w:rFonts w:ascii="Cambria Math" w:eastAsiaTheme="minorEastAsia" w:hAnsi="Cambria Math"/>
                            </w:rPr>
                            <m:t>2</m:t>
                          </m:r>
                        </m:sup>
                      </m:sSubSup>
                    </m:e>
                  </m:d>
                </m:e>
              </m:rad>
            </m:den>
          </m:f>
        </m:oMath>
      </m:oMathPara>
    </w:p>
    <w:p w:rsidR="000A2D53" w:rsidRDefault="000A2D53" w:rsidP="00525B35">
      <w:pPr>
        <w:spacing w:line="480" w:lineRule="auto"/>
        <w:rPr>
          <w:rFonts w:eastAsiaTheme="minorEastAsia"/>
          <w:b/>
        </w:rPr>
      </w:pPr>
      <w:proofErr w:type="spellStart"/>
      <w:r>
        <w:rPr>
          <w:rFonts w:eastAsiaTheme="minorEastAsia"/>
        </w:rPr>
        <w:t>Bollerslev</w:t>
      </w:r>
      <w:proofErr w:type="spellEnd"/>
      <w:r>
        <w:rPr>
          <w:rFonts w:eastAsiaTheme="minorEastAsia"/>
        </w:rPr>
        <w:t xml:space="preserve"> introduced the Constant Conditional Correlation (CCC-) GARCH model, which assumes the conditional correlations are time-invariant. This allows the conditional covariance matrix to be partitioned into two</w:t>
      </w:r>
      <m:oMath>
        <m:r>
          <w:rPr>
            <w:rFonts w:ascii="Cambria Math" w:eastAsiaTheme="minorEastAsia" w:hAnsi="Cambria Math"/>
          </w:rPr>
          <m:t xml:space="preserve"> (m,m)</m:t>
        </m:r>
      </m:oMath>
      <w:r>
        <w:rPr>
          <w:rFonts w:eastAsiaTheme="minorEastAsia"/>
        </w:rPr>
        <w:t xml:space="preserve">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D</m:t>
            </m:r>
            <m:ctrlPr>
              <w:rPr>
                <w:rFonts w:ascii="Cambria Math" w:eastAsiaTheme="minorEastAsia" w:hAnsi="Cambria Math"/>
                <w:i/>
              </w:rPr>
            </m:ctrlPr>
          </m:e>
          <m:sub>
            <m:r>
              <m:rPr>
                <m:sty m:val="bi"/>
              </m:rPr>
              <w:rPr>
                <w:rFonts w:ascii="Cambria Math" w:eastAsiaTheme="minorEastAsia" w:hAnsi="Cambria Math"/>
              </w:rPr>
              <m:t>t</m:t>
            </m:r>
          </m:sub>
        </m:sSub>
        <m:r>
          <m:rPr>
            <m:sty m:val="bi"/>
          </m:rPr>
          <w:rPr>
            <w:rFonts w:ascii="Cambria Math" w:eastAsiaTheme="minorEastAsia" w:hAnsi="Cambria Math"/>
          </w:rPr>
          <m:t>,P</m:t>
        </m:r>
      </m:oMath>
      <w:r>
        <w:rPr>
          <w:rFonts w:eastAsiaTheme="minorEastAsia"/>
          <w:b/>
        </w:rPr>
        <w:t>:</w:t>
      </w:r>
    </w:p>
    <w:p w:rsidR="006B593A" w:rsidRPr="006B593A" w:rsidRDefault="006B593A" w:rsidP="00525B35">
      <w:pPr>
        <w:spacing w:line="480" w:lineRule="auto"/>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t</m:t>
              </m:r>
            </m:sub>
          </m:sSub>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t</m:t>
              </m:r>
            </m:sub>
          </m:sSub>
        </m:oMath>
      </m:oMathPara>
    </w:p>
    <w:p w:rsidR="006B593A" w:rsidRDefault="000D56F1" w:rsidP="00525B35">
      <w:pPr>
        <w:spacing w:line="480" w:lineRule="auto"/>
        <w:rPr>
          <w:rFonts w:eastAsiaTheme="minorEastAsia"/>
        </w:rPr>
      </w:pPr>
      <w:r>
        <w:rPr>
          <w:rFonts w:eastAsiaTheme="minorEastAsia"/>
        </w:rPr>
        <w:t>The matrix</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D</m:t>
            </m:r>
            <m:ctrlPr>
              <w:rPr>
                <w:rFonts w:ascii="Cambria Math" w:eastAsiaTheme="minorEastAsia" w:hAnsi="Cambria Math"/>
                <w:i/>
              </w:rPr>
            </m:ctrlPr>
          </m:e>
          <m:sub>
            <m:r>
              <m:rPr>
                <m:sty m:val="bi"/>
              </m:rPr>
              <w:rPr>
                <w:rFonts w:ascii="Cambria Math" w:eastAsiaTheme="minorEastAsia" w:hAnsi="Cambria Math"/>
              </w:rPr>
              <m:t>t</m:t>
            </m:r>
          </m:sub>
        </m:sSub>
        <m:r>
          <w:rPr>
            <w:rFonts w:ascii="Cambria Math" w:eastAsiaTheme="minorEastAsia" w:hAnsi="Cambria Math"/>
          </w:rPr>
          <m:t>=diag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1,t</m:t>
                </m:r>
              </m:sub>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m,t</m:t>
                </m:r>
              </m:sub>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e>
        </m:d>
      </m:oMath>
      <w:r w:rsidR="00634D7A">
        <w:rPr>
          <w:rFonts w:eastAsiaTheme="minorEastAsia"/>
        </w:rPr>
        <w:t xml:space="preserve"> contains the conditional standard deviations. </w:t>
      </w:r>
      <w:r w:rsidR="00337F0B">
        <w:rPr>
          <w:rFonts w:eastAsiaTheme="minorEastAsia"/>
        </w:rPr>
        <w:t>The conditional correlation matrix</w:t>
      </w:r>
      <m:oMath>
        <m:r>
          <w:rPr>
            <w:rFonts w:ascii="Cambria Math" w:eastAsiaTheme="minorEastAsia" w:hAnsi="Cambria Math"/>
          </w:rPr>
          <m:t xml:space="preserve"> </m:t>
        </m:r>
        <m:r>
          <m:rPr>
            <m:sty m:val="bi"/>
          </m:rPr>
          <w:rPr>
            <w:rFonts w:ascii="Cambria Math" w:eastAsiaTheme="minorEastAsia" w:hAnsi="Cambria Math"/>
          </w:rPr>
          <m:t>P</m:t>
        </m:r>
      </m:oMath>
      <w:r w:rsidR="00337F0B">
        <w:rPr>
          <w:rFonts w:eastAsiaTheme="minorEastAsia"/>
          <w:b/>
        </w:rPr>
        <w:t xml:space="preserve"> </w:t>
      </w:r>
      <w:r w:rsidR="00337F0B">
        <w:rPr>
          <w:rFonts w:eastAsiaTheme="minorEastAsia"/>
        </w:rPr>
        <w:t>is a time-invariant, positive-definite matrix with every diagonal element equal to 1. Then, each non-diagonal element of the conditional covariance matrix can be expressed as:</w:t>
      </w:r>
    </w:p>
    <w:p w:rsidR="00337F0B" w:rsidRPr="001F1524" w:rsidRDefault="00337F0B" w:rsidP="00525B35">
      <w:pPr>
        <w:spacing w:line="480" w:lineRule="auto"/>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H</m:t>
                      </m:r>
                      <m:ctrlPr>
                        <w:rPr>
                          <w:rFonts w:ascii="Cambria Math" w:eastAsiaTheme="minorEastAsia" w:hAnsi="Cambria Math"/>
                          <w:i/>
                        </w:rPr>
                      </m:ctrlPr>
                    </m:e>
                    <m:sub>
                      <m:r>
                        <m:rPr>
                          <m:sty m:val="bi"/>
                        </m:rPr>
                        <w:rPr>
                          <w:rFonts w:ascii="Cambria Math" w:eastAsiaTheme="minorEastAsia" w:hAnsi="Cambria Math"/>
                        </w:rPr>
                        <m:t>t</m:t>
                      </m:r>
                    </m:sub>
                  </m:sSub>
                  <m:ctrlPr>
                    <w:rPr>
                      <w:rFonts w:ascii="Cambria Math" w:eastAsiaTheme="minorEastAsia" w:hAnsi="Cambria Math"/>
                      <w:b/>
                      <w:i/>
                    </w:rPr>
                  </m:ctrlPr>
                </m:e>
              </m:d>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i,t</m:t>
              </m:r>
            </m:sub>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j,t</m:t>
              </m:r>
            </m:sub>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r>
            <w:rPr>
              <w:rFonts w:ascii="Cambria Math" w:eastAsiaTheme="minorEastAsia" w:hAnsi="Cambria Math"/>
            </w:rPr>
            <m:t xml:space="preserve">   |   i≠j</m:t>
          </m:r>
        </m:oMath>
      </m:oMathPara>
    </w:p>
    <w:p w:rsidR="001F1524" w:rsidRDefault="001F1524" w:rsidP="00525B35">
      <w:pPr>
        <w:spacing w:line="480" w:lineRule="auto"/>
        <w:rPr>
          <w:rFonts w:eastAsiaTheme="minorEastAsia"/>
        </w:rPr>
      </w:pPr>
      <w:r>
        <w:rPr>
          <w:rFonts w:eastAsiaTheme="minorEastAsia"/>
        </w:rPr>
        <w:t>To model the conditional variances</w:t>
      </w:r>
      <m:oMath>
        <m:sSub>
          <m:sSubPr>
            <m:ctrlPr>
              <w:rPr>
                <w:rFonts w:ascii="Cambria Math" w:eastAsiaTheme="minorEastAsia" w:hAnsi="Cambria Math"/>
                <w:b/>
                <w:i/>
              </w:rPr>
            </m:ctrlPr>
          </m:sSubPr>
          <m:e>
            <m:r>
              <m:rPr>
                <m:sty m:val="bi"/>
              </m:rPr>
              <w:rPr>
                <w:rFonts w:ascii="Cambria Math" w:eastAsiaTheme="minorEastAsia" w:hAnsi="Cambria Math"/>
              </w:rPr>
              <m:t xml:space="preserve"> h</m:t>
            </m:r>
          </m:e>
          <m:sub>
            <m:r>
              <m:rPr>
                <m:sty m:val="bi"/>
              </m:rPr>
              <w:rPr>
                <w:rFonts w:ascii="Cambria Math" w:eastAsiaTheme="minorEastAsia" w:hAnsi="Cambria Math"/>
              </w:rPr>
              <m:t>t</m:t>
            </m:r>
          </m:sub>
        </m:sSub>
      </m:oMath>
      <w:r>
        <w:rPr>
          <w:rFonts w:eastAsiaTheme="minorEastAsia"/>
        </w:rPr>
        <w:t>, the individual returns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Pr>
          <w:rFonts w:eastAsiaTheme="minorEastAsia"/>
        </w:rPr>
        <w:t xml:space="preserve"> can be expressed as in the univariate GARCH</w:t>
      </w:r>
      <m:oMath>
        <m:r>
          <w:rPr>
            <w:rFonts w:ascii="Cambria Math" w:eastAsiaTheme="minorEastAsia" w:hAnsi="Cambria Math"/>
          </w:rPr>
          <m:t>(p,q)</m:t>
        </m:r>
      </m:oMath>
      <w:r>
        <w:rPr>
          <w:rFonts w:eastAsiaTheme="minorEastAsia"/>
        </w:rPr>
        <w:t xml:space="preserve"> case. Then analogously one can write for the vector of conditional variances</w:t>
      </w:r>
      <w:r w:rsidR="00363FF1">
        <w:rPr>
          <w:rStyle w:val="FootnoteReference"/>
          <w:rFonts w:eastAsiaTheme="minorEastAsia"/>
        </w:rPr>
        <w:footnoteReference w:id="2"/>
      </w:r>
      <w:r>
        <w:rPr>
          <w:rFonts w:eastAsiaTheme="minorEastAsia"/>
        </w:rPr>
        <w:t>:</w:t>
      </w:r>
    </w:p>
    <w:p w:rsidR="001F1524" w:rsidRPr="001F1524" w:rsidRDefault="001F1524" w:rsidP="00525B35">
      <w:pPr>
        <w:spacing w:line="480" w:lineRule="auto"/>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r>
            <m:rPr>
              <m:sty m:val="bi"/>
            </m:rPr>
            <w:rPr>
              <w:rFonts w:ascii="Cambria Math" w:eastAsiaTheme="minorEastAsia" w:hAnsi="Cambria Math"/>
            </w:rPr>
            <m:t>=ω+</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t-i</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t-i</m:t>
                  </m:r>
                </m:sub>
              </m:sSub>
              <m:r>
                <m:rPr>
                  <m:sty m:val="bi"/>
                </m:rPr>
                <w:rPr>
                  <w:rFonts w:ascii="Cambria Math" w:eastAsiaTheme="minorEastAsia" w:hAnsi="Cambria Math"/>
                </w:rPr>
                <m:t>]</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q</m:t>
              </m:r>
            </m:sup>
            <m:e>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j</m:t>
                  </m:r>
                </m:sub>
              </m:sSub>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t-j</m:t>
                  </m:r>
                </m:sub>
              </m:sSub>
            </m:e>
          </m:nary>
        </m:oMath>
      </m:oMathPara>
    </w:p>
    <w:p w:rsidR="00337F0B" w:rsidRDefault="001F1524" w:rsidP="00525B35">
      <w:pPr>
        <w:spacing w:line="480" w:lineRule="auto"/>
        <w:rPr>
          <w:rFonts w:eastAsiaTheme="minorEastAsia"/>
        </w:rPr>
      </w:pPr>
      <w:r>
        <w:rPr>
          <w:rFonts w:eastAsiaTheme="minorEastAsia"/>
        </w:rPr>
        <w:t>Finally,</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ctrlPr>
              <w:rPr>
                <w:rFonts w:ascii="Cambria Math" w:eastAsiaTheme="minorEastAsia" w:hAnsi="Cambria Math"/>
                <w:i/>
              </w:rPr>
            </m:ctrlPr>
          </m:e>
          <m:sub>
            <m:r>
              <m:rPr>
                <m:sty m:val="bi"/>
              </m:rPr>
              <w:rPr>
                <w:rFonts w:ascii="Cambria Math" w:eastAsiaTheme="minorEastAsia" w:hAnsi="Cambria Math"/>
              </w:rPr>
              <m:t>t</m:t>
            </m:r>
          </m:sub>
        </m:sSub>
      </m:oMath>
      <w:r>
        <w:rPr>
          <w:rFonts w:eastAsiaTheme="minorEastAsia"/>
          <w:b/>
        </w:rPr>
        <w:t xml:space="preserve"> </w:t>
      </w:r>
      <w:r>
        <w:rPr>
          <w:rFonts w:eastAsiaTheme="minorEastAsia"/>
        </w:rPr>
        <w:t>satisfies the positive-definite requirement if</w:t>
      </w:r>
      <m:oMath>
        <m:r>
          <w:rPr>
            <w:rFonts w:ascii="Cambria Math" w:eastAsiaTheme="minorEastAsia" w:hAnsi="Cambria Math"/>
          </w:rPr>
          <m:t xml:space="preserve"> </m:t>
        </m:r>
        <m:r>
          <m:rPr>
            <m:sty m:val="bi"/>
          </m:rPr>
          <w:rPr>
            <w:rFonts w:ascii="Cambria Math" w:eastAsiaTheme="minorEastAsia" w:hAnsi="Cambria Math"/>
          </w:rPr>
          <m:t>P</m:t>
        </m:r>
      </m:oMath>
      <w:r>
        <w:rPr>
          <w:rFonts w:eastAsiaTheme="minorEastAsia"/>
          <w:b/>
        </w:rPr>
        <w:t xml:space="preserve"> </w:t>
      </w:r>
      <w:r>
        <w:rPr>
          <w:rFonts w:eastAsiaTheme="minorEastAsia"/>
        </w:rPr>
        <w:t>is positive-definite, the diagonal elements of the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j</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j</m:t>
            </m:r>
          </m:sub>
        </m:sSub>
      </m:oMath>
      <w:r w:rsidR="00611954">
        <w:rPr>
          <w:rFonts w:eastAsiaTheme="minorEastAsia"/>
        </w:rPr>
        <w:t xml:space="preserve"> are positive, and the elements of</w:t>
      </w:r>
      <m:oMath>
        <m:r>
          <w:rPr>
            <w:rFonts w:ascii="Cambria Math" w:eastAsiaTheme="minorEastAsia" w:hAnsi="Cambria Math"/>
          </w:rPr>
          <m:t xml:space="preserve"> </m:t>
        </m:r>
        <m:r>
          <m:rPr>
            <m:sty m:val="bi"/>
          </m:rPr>
          <w:rPr>
            <w:rFonts w:ascii="Cambria Math" w:eastAsiaTheme="minorEastAsia" w:hAnsi="Cambria Math"/>
          </w:rPr>
          <m:t>ω</m:t>
        </m:r>
      </m:oMath>
      <w:r w:rsidR="00611954">
        <w:rPr>
          <w:rFonts w:eastAsiaTheme="minorEastAsia"/>
        </w:rPr>
        <w:t xml:space="preserve"> are also positive (</w:t>
      </w:r>
      <w:proofErr w:type="spellStart"/>
      <w:r w:rsidR="00611954">
        <w:rPr>
          <w:rFonts w:eastAsiaTheme="minorEastAsia"/>
        </w:rPr>
        <w:t>Silvennoinen</w:t>
      </w:r>
      <w:proofErr w:type="spellEnd"/>
      <w:r w:rsidR="00611954">
        <w:rPr>
          <w:rFonts w:eastAsiaTheme="minorEastAsia"/>
        </w:rPr>
        <w:t xml:space="preserve"> &amp; </w:t>
      </w:r>
      <w:proofErr w:type="spellStart"/>
      <w:r w:rsidR="00611954">
        <w:rPr>
          <w:rFonts w:eastAsiaTheme="minorEastAsia"/>
        </w:rPr>
        <w:t>Terasvirta</w:t>
      </w:r>
      <w:proofErr w:type="spellEnd"/>
      <w:r w:rsidR="00611954">
        <w:rPr>
          <w:rFonts w:eastAsiaTheme="minorEastAsia"/>
        </w:rPr>
        <w:t xml:space="preserve"> 2009). Although CCC-GARCH measures constant correlations and conditional variances, the non-diagonal elements of the ARCH and GARCH parameter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A</m:t>
            </m:r>
            <m:ctrlPr>
              <w:rPr>
                <w:rFonts w:ascii="Cambria Math" w:eastAsiaTheme="minorEastAsia" w:hAnsi="Cambria Math"/>
                <w:i/>
              </w:rPr>
            </m:ctrlPr>
          </m:e>
          <m:sub>
            <m:r>
              <m:rPr>
                <m:sty m:val="bi"/>
              </m:rPr>
              <w:rPr>
                <w:rFonts w:ascii="Cambria Math" w:eastAsiaTheme="minorEastAsia" w:hAnsi="Cambria Math"/>
              </w:rPr>
              <m:t>j</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j</m:t>
            </m:r>
          </m:sub>
        </m:sSub>
      </m:oMath>
      <w:r w:rsidR="00611954">
        <w:rPr>
          <w:rFonts w:eastAsiaTheme="minorEastAsia"/>
        </w:rPr>
        <w:t xml:space="preserve"> are zero by construction. The vanilla CCC-GARCH therefore cannot directly </w:t>
      </w:r>
      <w:r w:rsidR="00611954">
        <w:rPr>
          <w:rFonts w:eastAsiaTheme="minorEastAsia"/>
        </w:rPr>
        <w:lastRenderedPageBreak/>
        <w:t>estimate the one-way spillover effects of foreign innovations and volatility</w:t>
      </w:r>
      <w:r w:rsidR="0012010E">
        <w:rPr>
          <w:rFonts w:eastAsiaTheme="minorEastAsia"/>
        </w:rPr>
        <w:t xml:space="preserve">. </w:t>
      </w:r>
      <w:r w:rsidR="006D369D">
        <w:rPr>
          <w:rFonts w:eastAsiaTheme="minorEastAsia"/>
        </w:rPr>
        <w:t xml:space="preserve">Some econometricians have used the computationally expensive Baba-Engle-Kraft-Kroner (BEKK) model to estimate these non-diagonal parameters terms (Engle &amp; Kroner 1995; Xiao &amp; </w:t>
      </w:r>
      <w:proofErr w:type="spellStart"/>
      <w:r w:rsidR="006D369D">
        <w:rPr>
          <w:rFonts w:eastAsiaTheme="minorEastAsia"/>
        </w:rPr>
        <w:t>Dhesi</w:t>
      </w:r>
      <w:proofErr w:type="spellEnd"/>
      <w:r w:rsidR="006D369D">
        <w:rPr>
          <w:rFonts w:eastAsiaTheme="minorEastAsia"/>
        </w:rPr>
        <w:t xml:space="preserve"> 2010; </w:t>
      </w:r>
      <w:proofErr w:type="spellStart"/>
      <w:r w:rsidR="006D369D">
        <w:rPr>
          <w:rFonts w:eastAsiaTheme="minorEastAsia"/>
        </w:rPr>
        <w:t>Teplova</w:t>
      </w:r>
      <w:proofErr w:type="spellEnd"/>
      <w:r w:rsidR="006D369D">
        <w:rPr>
          <w:rFonts w:eastAsiaTheme="minorEastAsia"/>
        </w:rPr>
        <w:t xml:space="preserve"> &amp; </w:t>
      </w:r>
      <w:proofErr w:type="spellStart"/>
      <w:r w:rsidR="006D369D">
        <w:rPr>
          <w:rFonts w:eastAsiaTheme="minorEastAsia"/>
        </w:rPr>
        <w:t>Asturov</w:t>
      </w:r>
      <w:proofErr w:type="spellEnd"/>
      <w:r w:rsidR="006D369D">
        <w:rPr>
          <w:rFonts w:eastAsiaTheme="minorEastAsia"/>
        </w:rPr>
        <w:t xml:space="preserve"> </w:t>
      </w:r>
      <w:proofErr w:type="spellStart"/>
      <w:r w:rsidR="006D369D">
        <w:rPr>
          <w:rFonts w:eastAsiaTheme="minorEastAsia"/>
        </w:rPr>
        <w:t>n.d.</w:t>
      </w:r>
      <w:proofErr w:type="spellEnd"/>
      <w:r w:rsidR="006D369D">
        <w:rPr>
          <w:rFonts w:eastAsiaTheme="minorEastAsia"/>
        </w:rPr>
        <w:t>).</w:t>
      </w:r>
    </w:p>
    <w:p w:rsidR="006D369D" w:rsidRDefault="006D369D" w:rsidP="00525B35">
      <w:pPr>
        <w:spacing w:line="480" w:lineRule="auto"/>
        <w:rPr>
          <w:rFonts w:eastAsiaTheme="minorEastAsia"/>
        </w:rPr>
      </w:pPr>
      <w:r>
        <w:rPr>
          <w:rFonts w:eastAsiaTheme="minorEastAsia"/>
        </w:rPr>
        <w:tab/>
        <w:t>For many assets, the assumption of a time-invariant conditional correlation matrix</w:t>
      </w:r>
      <m:oMath>
        <m:r>
          <w:rPr>
            <w:rFonts w:ascii="Cambria Math" w:eastAsiaTheme="minorEastAsia" w:hAnsi="Cambria Math"/>
          </w:rPr>
          <m:t xml:space="preserve"> </m:t>
        </m:r>
        <m:r>
          <m:rPr>
            <m:sty m:val="bi"/>
          </m:rPr>
          <w:rPr>
            <w:rFonts w:ascii="Cambria Math" w:eastAsiaTheme="minorEastAsia" w:hAnsi="Cambria Math"/>
          </w:rPr>
          <m:t>P</m:t>
        </m:r>
      </m:oMath>
      <w:r>
        <w:rPr>
          <w:rFonts w:eastAsiaTheme="minorEastAsia"/>
        </w:rPr>
        <w:t xml:space="preserve"> may not be flexible enough. In Engle’s popular Dynamic Conditional Correlation (DCC-) GARCH model,</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P</m:t>
            </m:r>
            <m:ctrlPr>
              <w:rPr>
                <w:rFonts w:ascii="Cambria Math" w:eastAsiaTheme="minorEastAsia" w:hAnsi="Cambria Math"/>
                <w:i/>
              </w:rPr>
            </m:ctrlPr>
          </m:e>
          <m:sub>
            <m:r>
              <m:rPr>
                <m:sty m:val="bi"/>
              </m:rPr>
              <w:rPr>
                <w:rFonts w:ascii="Cambria Math" w:eastAsiaTheme="minorEastAsia" w:hAnsi="Cambria Math"/>
              </w:rPr>
              <m:t>t</m:t>
            </m:r>
          </m:sub>
        </m:sSub>
      </m:oMath>
      <w:r>
        <w:rPr>
          <w:rFonts w:eastAsiaTheme="minorEastAsia"/>
          <w:b/>
        </w:rPr>
        <w:t xml:space="preserve"> </w:t>
      </w:r>
      <w:r>
        <w:rPr>
          <w:rFonts w:eastAsiaTheme="minorEastAsia"/>
        </w:rPr>
        <w:t>(now time-variant) is specified as follows:</w:t>
      </w:r>
    </w:p>
    <w:p w:rsidR="006D369D" w:rsidRPr="001B1FED" w:rsidRDefault="006D369D" w:rsidP="001B1FED">
      <w:pPr>
        <w:spacing w:line="480" w:lineRule="auto"/>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t</m:t>
              </m:r>
            </m:sub>
          </m:sSub>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 xml:space="preserve">I ° </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t</m:t>
                      </m:r>
                    </m:sub>
                  </m:sSub>
                </m:e>
              </m:d>
              <m:ctrlPr>
                <w:rPr>
                  <w:rFonts w:ascii="Cambria Math" w:eastAsiaTheme="minorEastAsia" w:hAnsi="Cambria Math"/>
                  <w:i/>
                </w:rPr>
              </m:ctrlP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t</m:t>
              </m:r>
            </m:sub>
          </m:sSub>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 xml:space="preserve">I ° </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t</m:t>
                      </m:r>
                    </m:sub>
                  </m:sSub>
                </m:e>
              </m:d>
            </m:e>
            <m: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sup>
          </m:sSup>
        </m:oMath>
      </m:oMathPara>
    </w:p>
    <w:p w:rsidR="001B1FED" w:rsidRPr="001B1FED" w:rsidRDefault="001B1FED" w:rsidP="001B1FED">
      <w:pPr>
        <w:spacing w:line="480" w:lineRule="auto"/>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t</m:t>
              </m:r>
            </m:sub>
          </m:sSub>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d>
          <m:r>
            <m:rPr>
              <m:sty m:val="bi"/>
            </m:rP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ϵ</m:t>
              </m:r>
            </m:e>
            <m:sub>
              <m:r>
                <m:rPr>
                  <m:sty m:val="bi"/>
                </m:rPr>
                <w:rPr>
                  <w:rFonts w:ascii="Cambria Math" w:eastAsiaTheme="minorEastAsia" w:hAnsi="Cambria Math"/>
                </w:rPr>
                <m:t>t-1</m:t>
              </m:r>
            </m:sub>
          </m:sSub>
          <m:sSubSup>
            <m:sSubSupPr>
              <m:ctrlPr>
                <w:rPr>
                  <w:rFonts w:ascii="Cambria Math" w:eastAsiaTheme="minorEastAsia" w:hAnsi="Cambria Math"/>
                  <w:b/>
                  <w:i/>
                </w:rPr>
              </m:ctrlPr>
            </m:sSubSupPr>
            <m:e>
              <m:r>
                <m:rPr>
                  <m:sty m:val="bi"/>
                </m:rPr>
                <w:rPr>
                  <w:rFonts w:ascii="Cambria Math" w:eastAsiaTheme="minorEastAsia" w:hAnsi="Cambria Math"/>
                </w:rPr>
                <m:t>ϵ</m:t>
              </m:r>
            </m:e>
            <m:sub>
              <m:r>
                <m:rPr>
                  <m:sty m:val="bi"/>
                </m:rPr>
                <w:rPr>
                  <w:rFonts w:ascii="Cambria Math" w:eastAsiaTheme="minorEastAsia" w:hAnsi="Cambria Math"/>
                </w:rPr>
                <m:t>t-1</m:t>
              </m:r>
            </m:sub>
            <m:sup>
              <m:r>
                <m:rPr>
                  <m:sty m:val="bi"/>
                </m:rP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t-1</m:t>
              </m:r>
            </m:sub>
          </m:sSub>
        </m:oMath>
      </m:oMathPara>
    </w:p>
    <w:p w:rsidR="006F3B1E" w:rsidRDefault="00040F4D" w:rsidP="001B1FED">
      <w:pPr>
        <w:spacing w:line="480" w:lineRule="auto"/>
        <w:rPr>
          <w:rFonts w:eastAsiaTheme="minorEastAsia"/>
        </w:rPr>
      </w:pPr>
      <w:r>
        <w:rPr>
          <w:rFonts w:eastAsiaTheme="minorEastAsia"/>
        </w:rPr>
        <w:t xml:space="preserve">This includes the </w:t>
      </w:r>
      <w:r>
        <w:rPr>
          <w:rFonts w:eastAsiaTheme="minorEastAsia"/>
          <w:i/>
        </w:rPr>
        <w:t>adjustment parameters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&lt;1</m:t>
        </m:r>
      </m:oMath>
      <w:r>
        <w:rPr>
          <w:rFonts w:eastAsiaTheme="minorEastAsia"/>
          <w:i/>
        </w:rPr>
        <w:t xml:space="preserve"> </w:t>
      </w:r>
      <w:r>
        <w:rPr>
          <w:rFonts w:eastAsiaTheme="minorEastAsia"/>
        </w:rPr>
        <w:t>and</w:t>
      </w:r>
      <m:oMath>
        <m:r>
          <w:rPr>
            <w:rFonts w:ascii="Cambria Math" w:eastAsiaTheme="minorEastAsia" w:hAnsi="Cambria Math"/>
          </w:rPr>
          <m:t xml:space="preserve"> </m:t>
        </m:r>
        <m:r>
          <m:rPr>
            <m:sty m:val="bi"/>
          </m:rPr>
          <w:rPr>
            <w:rFonts w:ascii="Cambria Math" w:eastAsiaTheme="minorEastAsia" w:hAnsi="Cambria Math"/>
          </w:rPr>
          <m:t>S</m:t>
        </m:r>
      </m:oMath>
      <w:r>
        <w:rPr>
          <w:rFonts w:eastAsiaTheme="minorEastAsia"/>
        </w:rPr>
        <w:t xml:space="preserve"> which is the unconditional correlation matrix of the standardized errors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ϵ</m:t>
            </m:r>
            <m:ctrlPr>
              <w:rPr>
                <w:rFonts w:ascii="Cambria Math" w:eastAsiaTheme="minorEastAsia" w:hAnsi="Cambria Math"/>
                <w:i/>
              </w:rPr>
            </m:ctrlPr>
          </m:e>
          <m:sub>
            <m:r>
              <m:rPr>
                <m:sty m:val="bi"/>
              </m:rPr>
              <w:rPr>
                <w:rFonts w:ascii="Cambria Math" w:eastAsiaTheme="minorEastAsia" w:hAnsi="Cambria Math"/>
              </w:rPr>
              <m:t>t</m:t>
            </m:r>
          </m:sub>
        </m:sSub>
      </m:oMath>
      <w:r>
        <w:rPr>
          <w:rFonts w:eastAsiaTheme="minorEastAsia"/>
        </w:rPr>
        <w:t xml:space="preserve"> (</w:t>
      </w:r>
      <w:proofErr w:type="spellStart"/>
      <w:r>
        <w:rPr>
          <w:rFonts w:eastAsiaTheme="minorEastAsia"/>
        </w:rPr>
        <w:t>Silvennoinen</w:t>
      </w:r>
      <w:proofErr w:type="spellEnd"/>
      <w:r>
        <w:rPr>
          <w:rFonts w:eastAsiaTheme="minorEastAsia"/>
        </w:rPr>
        <w:t xml:space="preserve"> &amp; </w:t>
      </w:r>
      <w:proofErr w:type="spellStart"/>
      <w:r>
        <w:rPr>
          <w:rFonts w:eastAsiaTheme="minorEastAsia"/>
        </w:rPr>
        <w:t>Terasvirta</w:t>
      </w:r>
      <w:proofErr w:type="spellEnd"/>
      <w:r>
        <w:rPr>
          <w:rFonts w:eastAsiaTheme="minorEastAsia"/>
        </w:rPr>
        <w:t xml:space="preserve"> 2009).</w:t>
      </w:r>
      <w:r w:rsidR="00CD2C3E">
        <w:rPr>
          <w:rFonts w:eastAsiaTheme="minorEastAsia"/>
        </w:rPr>
        <w:t xml:space="preserve"> The adjustments parameters determine how the conditional </w:t>
      </w:r>
      <w:proofErr w:type="spellStart"/>
      <w:r w:rsidR="00CD2C3E">
        <w:rPr>
          <w:rFonts w:eastAsiaTheme="minorEastAsia"/>
        </w:rPr>
        <w:t>quasicorrelations</w:t>
      </w:r>
      <w:proofErr w:type="spellEnd"/>
      <w:r w:rsidR="006F3B1E">
        <w:rPr>
          <w:rFonts w:eastAsiaTheme="minorEastAsia"/>
        </w:rPr>
        <w:t xml:space="preserve"> (elements of</w:t>
      </w:r>
      <m:oMath>
        <m:sSub>
          <m:sSubPr>
            <m:ctrlPr>
              <w:rPr>
                <w:rFonts w:ascii="Cambria Math" w:eastAsiaTheme="minorEastAsia" w:hAnsi="Cambria Math"/>
                <w:b/>
                <w:i/>
              </w:rPr>
            </m:ctrlPr>
          </m:sSubPr>
          <m:e>
            <m:r>
              <m:rPr>
                <m:sty m:val="bi"/>
              </m:rPr>
              <w:rPr>
                <w:rFonts w:ascii="Cambria Math" w:eastAsiaTheme="minorEastAsia" w:hAnsi="Cambria Math"/>
              </w:rPr>
              <m:t xml:space="preserve"> Q</m:t>
            </m:r>
          </m:e>
          <m:sub>
            <m:r>
              <m:rPr>
                <m:sty m:val="bi"/>
              </m:rPr>
              <w:rPr>
                <w:rFonts w:ascii="Cambria Math" w:eastAsiaTheme="minorEastAsia" w:hAnsi="Cambria Math"/>
              </w:rPr>
              <m:t>t</m:t>
            </m:r>
          </m:sub>
        </m:sSub>
      </m:oMath>
      <w:r w:rsidR="006F3B1E">
        <w:rPr>
          <w:rFonts w:eastAsiaTheme="minorEastAsia"/>
        </w:rPr>
        <w:t xml:space="preserve">) change. </w:t>
      </w:r>
      <w:r w:rsidR="00C26E7A">
        <w:rPr>
          <w:rFonts w:eastAsiaTheme="minorEastAsia"/>
        </w:rPr>
        <w:t xml:space="preserve">These </w:t>
      </w:r>
      <w:proofErr w:type="spellStart"/>
      <w:r w:rsidR="00C26E7A">
        <w:rPr>
          <w:rFonts w:eastAsiaTheme="minorEastAsia"/>
        </w:rPr>
        <w:t>quasicorrelations</w:t>
      </w:r>
      <w:proofErr w:type="spellEnd"/>
      <w:r w:rsidR="00C26E7A">
        <w:rPr>
          <w:rFonts w:eastAsiaTheme="minorEastAsia"/>
        </w:rPr>
        <w:t xml:space="preserve"> can be regarded as the non-standardized correlations, and like the correlations, are symmetric between t</w:t>
      </w:r>
      <w:r w:rsidR="009273E5">
        <w:rPr>
          <w:rFonts w:eastAsiaTheme="minorEastAsia"/>
        </w:rPr>
        <w:t>wo variables</w:t>
      </w:r>
      <m:oMath>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B,A</m:t>
            </m:r>
          </m:e>
        </m:d>
      </m:oMath>
      <w:r w:rsidR="00C26E7A">
        <w:rPr>
          <w:rFonts w:eastAsiaTheme="minorEastAsia"/>
        </w:rPr>
        <w:t xml:space="preserve">. </w:t>
      </w:r>
      <w:r w:rsidR="00A248B5">
        <w:rPr>
          <w:rFonts w:eastAsiaTheme="minorEastAsia"/>
        </w:rPr>
        <w:t>The presence of dynamic correlation may be tested with the null hypothesis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m:t>
        </m:r>
      </m:oMath>
      <w:r w:rsidR="00A248B5">
        <w:rPr>
          <w:rFonts w:eastAsiaTheme="minorEastAsia"/>
        </w:rPr>
        <w:t>, since then</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t</m:t>
            </m:r>
          </m:sub>
        </m:sSub>
        <m:r>
          <m:rPr>
            <m:sty m:val="bi"/>
          </m:rPr>
          <w:rPr>
            <w:rFonts w:ascii="Cambria Math" w:eastAsiaTheme="minorEastAsia" w:hAnsi="Cambria Math"/>
          </w:rPr>
          <m:t>=S</m:t>
        </m:r>
      </m:oMath>
      <w:r w:rsidR="00A248B5">
        <w:rPr>
          <w:rFonts w:eastAsiaTheme="minorEastAsia"/>
        </w:rPr>
        <w:t xml:space="preserve"> and the</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P</m:t>
            </m:r>
            <m:ctrlPr>
              <w:rPr>
                <w:rFonts w:ascii="Cambria Math" w:eastAsiaTheme="minorEastAsia" w:hAnsi="Cambria Math"/>
                <w:i/>
              </w:rPr>
            </m:ctrlPr>
          </m:e>
          <m:sub>
            <m:r>
              <m:rPr>
                <m:sty m:val="bi"/>
              </m:rPr>
              <w:rPr>
                <w:rFonts w:ascii="Cambria Math" w:eastAsiaTheme="minorEastAsia" w:hAnsi="Cambria Math"/>
              </w:rPr>
              <m:t>t</m:t>
            </m:r>
          </m:sub>
        </m:sSub>
      </m:oMath>
      <w:r w:rsidR="00A248B5">
        <w:rPr>
          <w:rFonts w:eastAsiaTheme="minorEastAsia"/>
        </w:rPr>
        <w:t xml:space="preserve"> equation simply reduces to that of CCC-GARCH (</w:t>
      </w:r>
      <w:proofErr w:type="spellStart"/>
      <w:r w:rsidR="00A248B5">
        <w:rPr>
          <w:rFonts w:eastAsiaTheme="minorEastAsia"/>
        </w:rPr>
        <w:t>StataCorp</w:t>
      </w:r>
      <w:proofErr w:type="spellEnd"/>
      <w:r w:rsidR="00A248B5">
        <w:rPr>
          <w:rFonts w:eastAsiaTheme="minorEastAsia"/>
        </w:rPr>
        <w:t xml:space="preserve"> 2013). </w:t>
      </w:r>
      <w:r w:rsidR="000E62C9">
        <w:rPr>
          <w:rFonts w:eastAsiaTheme="minorEastAsia"/>
        </w:rPr>
        <w:t>After estimating DCC-GARCH, the dynamic conditional correlation coefficients may be plotted over time for visual analysis.</w:t>
      </w:r>
    </w:p>
    <w:p w:rsidR="00973DB7" w:rsidRDefault="00887569" w:rsidP="00525B35">
      <w:pPr>
        <w:spacing w:line="480" w:lineRule="auto"/>
        <w:rPr>
          <w:rFonts w:eastAsiaTheme="minorEastAsia"/>
        </w:rPr>
      </w:pPr>
      <w:r>
        <w:rPr>
          <w:rFonts w:eastAsiaTheme="minorEastAsia"/>
        </w:rPr>
        <w:tab/>
        <w:t>With additional computation</w:t>
      </w:r>
      <w:r w:rsidR="004D1D8D">
        <w:rPr>
          <w:rFonts w:eastAsiaTheme="minorEastAsia"/>
        </w:rPr>
        <w:t xml:space="preserve">, extended forms for CCC-GARCH and DCC-GARCH can be substituted for the BEKK model to directly estimate the non-zero elements of the ARCH/GARCH parameter matrices. </w:t>
      </w:r>
      <w:r w:rsidR="002C2030">
        <w:rPr>
          <w:rFonts w:eastAsiaTheme="minorEastAsia"/>
        </w:rPr>
        <w:t>The diagonal elements of</w:t>
      </w:r>
      <m:oMath>
        <m:sSub>
          <m:sSubPr>
            <m:ctrlPr>
              <w:rPr>
                <w:rFonts w:ascii="Cambria Math" w:eastAsiaTheme="minorEastAsia" w:hAnsi="Cambria Math"/>
                <w:b/>
                <w:i/>
              </w:rPr>
            </m:ctrlPr>
          </m:sSubPr>
          <m:e>
            <m:r>
              <m:rPr>
                <m:sty m:val="bi"/>
              </m:rPr>
              <w:rPr>
                <w:rFonts w:ascii="Cambria Math" w:eastAsiaTheme="minorEastAsia" w:hAnsi="Cambria Math"/>
              </w:rPr>
              <m:t xml:space="preserve"> </m:t>
            </m:r>
            <m:r>
              <m:rPr>
                <m:sty m:val="bi"/>
              </m:rPr>
              <w:rPr>
                <w:rFonts w:ascii="Cambria Math" w:eastAsiaTheme="minorEastAsia" w:hAnsi="Cambria Math"/>
              </w:rPr>
              <m:t>D</m:t>
            </m:r>
          </m:e>
          <m:sub>
            <m:r>
              <m:rPr>
                <m:sty m:val="bi"/>
              </m:rPr>
              <w:rPr>
                <w:rFonts w:ascii="Cambria Math" w:eastAsiaTheme="minorEastAsia" w:hAnsi="Cambria Math"/>
              </w:rPr>
              <m:t>t</m:t>
            </m:r>
          </m:sub>
        </m:sSub>
      </m:oMath>
      <w:r w:rsidR="002C2030">
        <w:rPr>
          <w:rFonts w:eastAsiaTheme="minorEastAsia"/>
        </w:rPr>
        <w:t>, the conditional variances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ii,t</m:t>
            </m:r>
          </m:sub>
        </m:sSub>
      </m:oMath>
      <w:r w:rsidR="002C2030">
        <w:rPr>
          <w:rFonts w:eastAsiaTheme="minorEastAsia"/>
        </w:rPr>
        <w:t>,</w:t>
      </w:r>
      <w:r w:rsidR="00902AC9">
        <w:rPr>
          <w:rFonts w:eastAsiaTheme="minorEastAsia"/>
        </w:rPr>
        <w:t xml:space="preserve"> can be computed with a vectorized GARCH equati</w:t>
      </w:r>
      <w:r w:rsidR="003612A3">
        <w:rPr>
          <w:rFonts w:eastAsiaTheme="minorEastAsia"/>
        </w:rPr>
        <w:t xml:space="preserve">on that allows for cross-series </w:t>
      </w:r>
      <w:r w:rsidR="00902AC9">
        <w:rPr>
          <w:rFonts w:eastAsiaTheme="minorEastAsia"/>
        </w:rPr>
        <w:t xml:space="preserve">effects. </w:t>
      </w:r>
      <w:r w:rsidR="007D02B3">
        <w:rPr>
          <w:rFonts w:eastAsiaTheme="minorEastAsia"/>
        </w:rPr>
        <w:t xml:space="preserve">For example, for two exchanges we might write the </w:t>
      </w:r>
      <w:r w:rsidR="005D4175">
        <w:rPr>
          <w:rFonts w:eastAsiaTheme="minorEastAsia"/>
        </w:rPr>
        <w:t xml:space="preserve">following </w:t>
      </w:r>
      <w:proofErr w:type="gramStart"/>
      <w:r w:rsidR="005D4175">
        <w:rPr>
          <w:rFonts w:eastAsiaTheme="minorEastAsia"/>
        </w:rPr>
        <w:t>GARCH(</w:t>
      </w:r>
      <w:proofErr w:type="gramEnd"/>
      <w:r w:rsidR="005D4175">
        <w:rPr>
          <w:rFonts w:eastAsiaTheme="minorEastAsia"/>
        </w:rPr>
        <w:t>1,1) equation where cross-</w:t>
      </w:r>
      <w:r w:rsidR="005D4175">
        <w:rPr>
          <w:rFonts w:eastAsiaTheme="minorEastAsia"/>
        </w:rPr>
        <w:lastRenderedPageBreak/>
        <w:t>series effects are captured in the terms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 xml:space="preserve">  :  i≠j</m:t>
        </m:r>
      </m:oMath>
      <w:r w:rsidR="00973DB7">
        <w:rPr>
          <w:rFonts w:eastAsiaTheme="minorEastAsia"/>
        </w:rPr>
        <w:t xml:space="preserve"> (He &amp; </w:t>
      </w:r>
      <w:proofErr w:type="spellStart"/>
      <w:r w:rsidR="00973DB7">
        <w:rPr>
          <w:rFonts w:eastAsiaTheme="minorEastAsia"/>
        </w:rPr>
        <w:t>Terasvirta</w:t>
      </w:r>
      <w:proofErr w:type="spellEnd"/>
      <w:r w:rsidR="00E831EC">
        <w:rPr>
          <w:rFonts w:eastAsiaTheme="minorEastAsia"/>
        </w:rPr>
        <w:t xml:space="preserve"> 2004; </w:t>
      </w:r>
      <w:proofErr w:type="spellStart"/>
      <w:r w:rsidR="00E831EC">
        <w:rPr>
          <w:rFonts w:eastAsiaTheme="minorEastAsia"/>
        </w:rPr>
        <w:t>Teplova</w:t>
      </w:r>
      <w:proofErr w:type="spellEnd"/>
      <w:r w:rsidR="00E831EC">
        <w:rPr>
          <w:rFonts w:eastAsiaTheme="minorEastAsia"/>
        </w:rPr>
        <w:t xml:space="preserve"> &amp; </w:t>
      </w:r>
      <w:proofErr w:type="spellStart"/>
      <w:r w:rsidR="00E831EC">
        <w:rPr>
          <w:rFonts w:eastAsiaTheme="minorEastAsia"/>
        </w:rPr>
        <w:t>Asaturov</w:t>
      </w:r>
      <w:proofErr w:type="spellEnd"/>
      <w:r w:rsidR="00E831EC">
        <w:rPr>
          <w:rFonts w:eastAsiaTheme="minorEastAsia"/>
        </w:rPr>
        <w:t xml:space="preserve"> </w:t>
      </w:r>
      <w:proofErr w:type="spellStart"/>
      <w:r w:rsidR="00E831EC">
        <w:rPr>
          <w:rFonts w:eastAsiaTheme="minorEastAsia"/>
        </w:rPr>
        <w:t>n.d.</w:t>
      </w:r>
      <w:proofErr w:type="spellEnd"/>
      <w:r w:rsidR="00E831EC">
        <w:rPr>
          <w:rFonts w:eastAsiaTheme="minorEastAsia"/>
        </w:rPr>
        <w:t>).</w:t>
      </w:r>
    </w:p>
    <w:p w:rsidR="0032607F" w:rsidRPr="00943355" w:rsidRDefault="0032607F" w:rsidP="0032607F">
      <w:pPr>
        <w:spacing w:line="480" w:lineRule="auto"/>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11,t</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22,t</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1,t-1</m:t>
                        </m:r>
                      </m:sub>
                      <m:sup>
                        <m:r>
                          <w:rPr>
                            <w:rFonts w:ascii="Cambria Math" w:eastAsiaTheme="minorEastAsia" w:hAnsi="Cambria Math"/>
                          </w:rPr>
                          <m:t>2</m:t>
                        </m:r>
                      </m:sup>
                    </m:sSubSup>
                  </m:e>
                </m:mr>
                <m:mr>
                  <m:e>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2,t-1</m:t>
                        </m:r>
                      </m:sub>
                      <m:sup>
                        <m:r>
                          <w:rPr>
                            <w:rFonts w:ascii="Cambria Math" w:eastAsiaTheme="minorEastAsia" w:hAnsi="Cambria Math"/>
                          </w:rPr>
                          <m:t>2</m:t>
                        </m:r>
                      </m:sup>
                    </m:sSubSup>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22</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22,t-1</m:t>
                        </m:r>
                      </m:sub>
                    </m:sSub>
                  </m:e>
                </m:mr>
              </m:m>
            </m:e>
          </m:d>
        </m:oMath>
      </m:oMathPara>
    </w:p>
    <w:p w:rsidR="00943355" w:rsidRDefault="00712C10" w:rsidP="00712C10">
      <w:pPr>
        <w:spacing w:line="480" w:lineRule="auto"/>
        <w:ind w:firstLine="720"/>
        <w:rPr>
          <w:rFonts w:eastAsiaTheme="minorEastAsia"/>
        </w:rPr>
      </w:pPr>
      <w:r>
        <w:rPr>
          <w:rFonts w:eastAsiaTheme="minorEastAsia"/>
        </w:rPr>
        <w:t xml:space="preserve">Before ARCH/GARCH, I show with the ADF test for unit roots that a first difference renders the various Bitcoin series stationary at the 5% significance level. </w:t>
      </w:r>
      <w:r w:rsidR="005C7DCE">
        <w:rPr>
          <w:rFonts w:eastAsiaTheme="minorEastAsia"/>
        </w:rPr>
        <w:t xml:space="preserve">I use Engle’s (1984) standard Lagrange Multiplier Test to test for ARCH effects, i.e. volatility clustering. </w:t>
      </w:r>
      <w:r w:rsidR="00AF61FC">
        <w:rPr>
          <w:rFonts w:eastAsiaTheme="minorEastAsia"/>
        </w:rPr>
        <w:t>The test statistic for the method is of the form</w:t>
      </w:r>
      <m:oMath>
        <m:r>
          <w:rPr>
            <w:rFonts w:ascii="Cambria Math" w:eastAsiaTheme="minorEastAsia" w:hAnsi="Cambria Math"/>
          </w:rPr>
          <m:t xml:space="preserve"> 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F61FC">
        <w:rPr>
          <w:rFonts w:eastAsiaTheme="minorEastAsia"/>
        </w:rPr>
        <w:t>, where the first quantity</w:t>
      </w:r>
      <m:oMath>
        <m:r>
          <w:rPr>
            <w:rFonts w:ascii="Cambria Math" w:eastAsiaTheme="minorEastAsia" w:hAnsi="Cambria Math"/>
          </w:rPr>
          <m:t xml:space="preserve"> T</m:t>
        </m:r>
      </m:oMath>
      <w:r w:rsidR="00AF61FC">
        <w:rPr>
          <w:rFonts w:eastAsiaTheme="minorEastAsia"/>
        </w:rPr>
        <w:t xml:space="preserve"> is the sample size and </w:t>
      </w:r>
      <m:oMath>
        <m:r>
          <w:rPr>
            <w:rFonts w:ascii="Cambria Math" w:eastAsiaTheme="minorEastAsia" w:hAnsi="Cambria Math"/>
          </w:rPr>
          <m:t>R</m:t>
        </m:r>
      </m:oMath>
      <w:r w:rsidR="00AF61FC">
        <w:rPr>
          <w:rFonts w:eastAsiaTheme="minorEastAsia"/>
        </w:rPr>
        <w:t xml:space="preserve"> is the sample multiple correlation coefficient for the regression of the residuals: for</w:t>
      </w:r>
      <m:oMath>
        <m:r>
          <w:rPr>
            <w:rFonts w:ascii="Cambria Math" w:eastAsiaTheme="minorEastAsia" w:hAnsi="Cambria Math"/>
          </w:rPr>
          <m:t xml:space="preserve"> q</m:t>
        </m:r>
      </m:oMath>
      <w:r w:rsidR="00AF61FC">
        <w:rPr>
          <w:rFonts w:eastAsiaTheme="minorEastAsia"/>
        </w:rPr>
        <w:t xml:space="preserve"> lags it has </w:t>
      </w:r>
      <w:proofErr w:type="gramStart"/>
      <w:r w:rsidR="00AF61FC">
        <w:rPr>
          <w:rFonts w:eastAsiaTheme="minorEastAsia"/>
        </w:rPr>
        <w:t>a</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(q)</m:t>
        </m:r>
      </m:oMath>
      <w:r w:rsidR="00AF61FC">
        <w:rPr>
          <w:rFonts w:eastAsiaTheme="minorEastAsia"/>
        </w:rPr>
        <w:t xml:space="preserve"> asymptotic distribution.</w:t>
      </w:r>
      <w:r w:rsidR="001039B6">
        <w:rPr>
          <w:rFonts w:eastAsiaTheme="minorEastAsia"/>
        </w:rPr>
        <w:t xml:space="preserve"> To </w:t>
      </w:r>
      <w:r w:rsidR="00BF28F0">
        <w:rPr>
          <w:rFonts w:eastAsiaTheme="minorEastAsia"/>
        </w:rPr>
        <w:t xml:space="preserve">confirm conditional </w:t>
      </w:r>
      <w:proofErr w:type="spellStart"/>
      <w:r w:rsidR="00BF28F0">
        <w:rPr>
          <w:rFonts w:eastAsiaTheme="minorEastAsia"/>
        </w:rPr>
        <w:t>heteroskedasticity</w:t>
      </w:r>
      <w:proofErr w:type="spellEnd"/>
      <w:r w:rsidR="00BF28F0">
        <w:rPr>
          <w:rFonts w:eastAsiaTheme="minorEastAsia"/>
        </w:rPr>
        <w:t xml:space="preserve"> in the Bitcoin series</w:t>
      </w:r>
      <w:r w:rsidR="001039B6">
        <w:rPr>
          <w:rFonts w:eastAsiaTheme="minorEastAsia"/>
        </w:rPr>
        <w:t xml:space="preserve">, I also calculate the </w:t>
      </w:r>
      <w:proofErr w:type="spellStart"/>
      <w:r w:rsidR="001039B6">
        <w:rPr>
          <w:rFonts w:eastAsiaTheme="minorEastAsia"/>
        </w:rPr>
        <w:t>Ljung</w:t>
      </w:r>
      <w:proofErr w:type="spellEnd"/>
      <w:r w:rsidR="001039B6">
        <w:rPr>
          <w:rFonts w:eastAsiaTheme="minorEastAsia"/>
        </w:rPr>
        <w:t xml:space="preserve">-Box Q-Statistic for the McLeod-Li test, </w:t>
      </w:r>
      <w:r w:rsidR="00BF28F0">
        <w:rPr>
          <w:rFonts w:eastAsiaTheme="minorEastAsia"/>
        </w:rPr>
        <w:t xml:space="preserve">which has </w:t>
      </w:r>
      <w:proofErr w:type="gramStart"/>
      <w:r w:rsidR="00BF28F0">
        <w:rPr>
          <w:rFonts w:eastAsiaTheme="minorEastAsia"/>
        </w:rPr>
        <w:t>a</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(L)</m:t>
        </m:r>
      </m:oMath>
      <w:r w:rsidR="00BF28F0">
        <w:rPr>
          <w:rFonts w:eastAsiaTheme="minorEastAsia"/>
        </w:rPr>
        <w:t xml:space="preserve"> asymptotic distribution</w:t>
      </w:r>
      <w:r w:rsidR="001039B6">
        <w:rPr>
          <w:rFonts w:eastAsiaTheme="minorEastAsia"/>
        </w:rPr>
        <w:t xml:space="preserve"> (McLe</w:t>
      </w:r>
      <w:r w:rsidR="00BF28F0">
        <w:rPr>
          <w:rFonts w:eastAsiaTheme="minorEastAsia"/>
        </w:rPr>
        <w:t>od &amp; Li 1983; Wang et al. 2005).</w:t>
      </w:r>
    </w:p>
    <w:p w:rsidR="001039B6" w:rsidRPr="001039B6" w:rsidRDefault="001039B6" w:rsidP="00712C10">
      <w:pPr>
        <w:spacing w:line="480" w:lineRule="auto"/>
        <w:ind w:firstLine="720"/>
        <w:rPr>
          <w:rFonts w:eastAsiaTheme="minorEastAsia"/>
        </w:rPr>
      </w:pPr>
      <m:oMathPara>
        <m:oMath>
          <m:r>
            <w:rPr>
              <w:rFonts w:ascii="Cambria Math" w:eastAsiaTheme="minorEastAsia" w:hAnsi="Cambria Math"/>
            </w:rPr>
            <m:t>Q=N</m:t>
          </m:r>
          <m:d>
            <m:dPr>
              <m:ctrlPr>
                <w:rPr>
                  <w:rFonts w:ascii="Cambria Math" w:eastAsiaTheme="minorEastAsia" w:hAnsi="Cambria Math"/>
                  <w:i/>
                </w:rPr>
              </m:ctrlPr>
            </m:dPr>
            <m:e>
              <m:r>
                <w:rPr>
                  <w:rFonts w:ascii="Cambria Math" w:eastAsiaTheme="minorEastAsia" w:hAnsi="Cambria Math"/>
                </w:rPr>
                <m:t>N+2</m:t>
              </m:r>
            </m:e>
          </m:d>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L</m:t>
              </m:r>
            </m:sup>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k</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e>
                  </m:d>
                </m:num>
                <m:den>
                  <m:r>
                    <w:rPr>
                      <w:rFonts w:ascii="Cambria Math" w:eastAsiaTheme="minorEastAsia" w:hAnsi="Cambria Math"/>
                    </w:rPr>
                    <m:t>N-k</m:t>
                  </m:r>
                </m:den>
              </m:f>
            </m:e>
          </m:nary>
        </m:oMath>
      </m:oMathPara>
    </w:p>
    <w:p w:rsidR="001039B6" w:rsidRDefault="003D1B81" w:rsidP="001039B6">
      <w:pPr>
        <w:spacing w:line="480" w:lineRule="auto"/>
        <w:rPr>
          <w:rFonts w:eastAsiaTheme="minorEastAsia"/>
        </w:rPr>
      </w:pPr>
      <w:r>
        <w:rPr>
          <w:rFonts w:eastAsiaTheme="minorEastAsia"/>
        </w:rPr>
        <w:t xml:space="preserve">Subsequently, to follow </w:t>
      </w:r>
      <w:proofErr w:type="spellStart"/>
      <w:r>
        <w:rPr>
          <w:rFonts w:eastAsiaTheme="minorEastAsia"/>
        </w:rPr>
        <w:t>Chevallier</w:t>
      </w:r>
      <w:proofErr w:type="spellEnd"/>
      <w:r>
        <w:rPr>
          <w:rFonts w:eastAsiaTheme="minorEastAsia"/>
        </w:rPr>
        <w:t xml:space="preserve"> (2012), I fit a VAR</w:t>
      </w:r>
      <m:oMath>
        <m:r>
          <w:rPr>
            <w:rFonts w:ascii="Cambria Math" w:eastAsiaTheme="minorEastAsia" w:hAnsi="Cambria Math"/>
          </w:rPr>
          <m:t>(1)</m:t>
        </m:r>
      </m:oMath>
      <w:r>
        <w:rPr>
          <w:rFonts w:eastAsiaTheme="minorEastAsia"/>
        </w:rPr>
        <w:t xml:space="preserve"> model the Bitcoin series in order to remove </w:t>
      </w:r>
      <w:r w:rsidR="00A52EE7">
        <w:rPr>
          <w:rFonts w:eastAsiaTheme="minorEastAsia"/>
        </w:rPr>
        <w:t>serial dependence and trend.</w:t>
      </w:r>
      <w:r w:rsidR="007F790A">
        <w:rPr>
          <w:rFonts w:eastAsiaTheme="minorEastAsia"/>
        </w:rPr>
        <w:t xml:space="preserve"> I run CCC-GARCH on the </w:t>
      </w:r>
      <w:proofErr w:type="gramStart"/>
      <w:r w:rsidR="007F790A">
        <w:rPr>
          <w:rFonts w:eastAsiaTheme="minorEastAsia"/>
        </w:rPr>
        <w:t>VAR(</w:t>
      </w:r>
      <w:proofErr w:type="gramEnd"/>
      <w:r w:rsidR="007F790A">
        <w:rPr>
          <w:rFonts w:eastAsiaTheme="minorEastAsia"/>
        </w:rPr>
        <w:t xml:space="preserve">1) residuals to examine correlations in volatility. </w:t>
      </w:r>
      <w:r w:rsidR="007B5C80">
        <w:rPr>
          <w:rFonts w:eastAsiaTheme="minorEastAsia"/>
        </w:rPr>
        <w:t>I fit DCC-GARCH, and show with a Wald test on the adjustment parameters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7B5C80">
        <w:rPr>
          <w:rFonts w:eastAsiaTheme="minorEastAsia"/>
        </w:rPr>
        <w:t xml:space="preserve"> that correlations change over time. </w:t>
      </w:r>
      <w:r w:rsidR="00201660">
        <w:rPr>
          <w:rFonts w:eastAsiaTheme="minorEastAsia"/>
        </w:rPr>
        <w:t xml:space="preserve">I obtain the </w:t>
      </w:r>
      <w:proofErr w:type="spellStart"/>
      <w:r w:rsidR="00201660">
        <w:rPr>
          <w:rFonts w:eastAsiaTheme="minorEastAsia"/>
        </w:rPr>
        <w:t>quasicorrelations</w:t>
      </w:r>
      <w:proofErr w:type="spellEnd"/>
      <w:r w:rsidR="00201660">
        <w:rPr>
          <w:rFonts w:eastAsiaTheme="minorEastAsia"/>
        </w:rPr>
        <w:t xml:space="preserve"> and the p-values to study the strength of time-varying spillovers, and plot the dynamic conditional correlations to understand the hierarchy of volatility transmitters. </w:t>
      </w:r>
      <w:r w:rsidR="00A9103D">
        <w:rPr>
          <w:rFonts w:eastAsiaTheme="minorEastAsia"/>
        </w:rPr>
        <w:t>Finally, with the extended DCC-GARCH model, I estimate the specific coefficients for ARCH and GARCH spillovers onto volatility.</w:t>
      </w:r>
    </w:p>
    <w:p w:rsidR="00A9103D" w:rsidRDefault="00A9103D" w:rsidP="001039B6">
      <w:pPr>
        <w:spacing w:line="480" w:lineRule="auto"/>
        <w:rPr>
          <w:rFonts w:eastAsiaTheme="minorEastAsia"/>
        </w:rPr>
      </w:pPr>
    </w:p>
    <w:p w:rsidR="00A9103D" w:rsidRDefault="00E723AD" w:rsidP="001039B6">
      <w:pPr>
        <w:spacing w:line="480" w:lineRule="auto"/>
        <w:rPr>
          <w:rFonts w:eastAsiaTheme="minorEastAsia"/>
        </w:rPr>
      </w:pPr>
      <w:r>
        <w:rPr>
          <w:rFonts w:eastAsiaTheme="minorEastAsia"/>
          <w:b/>
        </w:rPr>
        <w:t>5. Results</w:t>
      </w:r>
    </w:p>
    <w:p w:rsidR="00CC4CFF" w:rsidRDefault="002A5D0E" w:rsidP="00CC4CFF">
      <w:pPr>
        <w:spacing w:line="480" w:lineRule="auto"/>
        <w:rPr>
          <w:rFonts w:eastAsiaTheme="minorEastAsia"/>
        </w:rPr>
      </w:pPr>
      <w:r w:rsidRPr="002A5D0E">
        <w:rPr>
          <w:rFonts w:eastAsiaTheme="minorEastAsia"/>
        </w:rPr>
        <w:lastRenderedPageBreak/>
        <w:t xml:space="preserve">Because all series cluster around the same trend, we start by applying a simple first difference to the eight Bitcoin series to ensure stationarity (Wang et al. 2005). To test this, we run the Augmented Dickey-Fuller test, which checks for unit roots in a time series. If the null hypothesis of existing unit roots is rejected, then the time series may be regarded as stationary at some significance level (Said &amp; Dickey 1984). For each of the series, the ADF test yields a p-value of approximately 0.01, a strong sign of stationarity. The ACF plots of the differenced series, shown in Figure 3 (Appendix), also confirm this through clear exponential decay in the autocorrelations. The small exception is the Kraken exchange, which has a few insignificant longer lags. A seasonal-trend decomposition by LOESS (Figure 4, Appendix), with the original frequency of eight intraday units, reveals a volatile but seemingly unmoving trend for the Kraken exchange. Nevertheless, because the ADF test still confirmed stationarity, we use the first-differenced Kraken data without modification. Each time series is approximately integrated of order 1, fulfilling the requirements for a </w:t>
      </w:r>
      <w:proofErr w:type="gramStart"/>
      <w:r w:rsidRPr="002A5D0E">
        <w:rPr>
          <w:rFonts w:eastAsiaTheme="minorEastAsia"/>
        </w:rPr>
        <w:t>VAR(</w:t>
      </w:r>
      <w:proofErr w:type="gramEnd"/>
      <w:r w:rsidRPr="002A5D0E">
        <w:rPr>
          <w:rFonts w:eastAsiaTheme="minorEastAsia"/>
        </w:rPr>
        <w:t>p) model.</w:t>
      </w:r>
    </w:p>
    <w:p w:rsidR="00CC4CFF" w:rsidRDefault="00CC4CFF" w:rsidP="00CC4CFF">
      <w:pPr>
        <w:spacing w:line="480" w:lineRule="auto"/>
        <w:ind w:firstLine="720"/>
        <w:rPr>
          <w:rFonts w:eastAsiaTheme="minorEastAsia"/>
        </w:rPr>
      </w:pPr>
      <w:r w:rsidRPr="00CC4CFF">
        <w:rPr>
          <w:rFonts w:eastAsiaTheme="minorEastAsia"/>
        </w:rPr>
        <w:t>Before testing the differenced data for ARCH effects, it is important to remove linear serial dependence, usually with an AR-based model (</w:t>
      </w:r>
      <w:proofErr w:type="spellStart"/>
      <w:r w:rsidRPr="00CC4CFF">
        <w:rPr>
          <w:rFonts w:eastAsiaTheme="minorEastAsia"/>
        </w:rPr>
        <w:t>Chevallier</w:t>
      </w:r>
      <w:proofErr w:type="spellEnd"/>
      <w:r w:rsidRPr="00CC4CFF">
        <w:rPr>
          <w:rFonts w:eastAsiaTheme="minorEastAsia"/>
        </w:rPr>
        <w:t xml:space="preserve"> 2012). We use a </w:t>
      </w:r>
      <w:proofErr w:type="gramStart"/>
      <w:r w:rsidRPr="00CC4CFF">
        <w:rPr>
          <w:rFonts w:eastAsiaTheme="minorEastAsia"/>
        </w:rPr>
        <w:t>VAR(</w:t>
      </w:r>
      <w:proofErr w:type="gramEnd"/>
      <w:r w:rsidRPr="00CC4CFF">
        <w:rPr>
          <w:rFonts w:eastAsiaTheme="minorEastAsia"/>
        </w:rPr>
        <w:t>1) model, which also gives some insight into the mean</w:t>
      </w:r>
      <w:r>
        <w:rPr>
          <w:rFonts w:eastAsiaTheme="minorEastAsia"/>
        </w:rPr>
        <w:t>-</w:t>
      </w:r>
      <w:r w:rsidRPr="00CC4CFF">
        <w:rPr>
          <w:rFonts w:eastAsiaTheme="minorEastAsia"/>
        </w:rPr>
        <w:t xml:space="preserve">corrected returns. Tables 5 and 6 in the Appendix show the coefficients and the p-values for each of the regressions. For example, the row for </w:t>
      </w:r>
      <w:r w:rsidRPr="00E60366">
        <w:rPr>
          <w:rFonts w:eastAsiaTheme="minorEastAsia"/>
        </w:rPr>
        <w:t>1coin</w:t>
      </w:r>
      <w:r w:rsidRPr="00CC4CFF">
        <w:rPr>
          <w:rFonts w:eastAsiaTheme="minorEastAsia"/>
        </w:rPr>
        <w:t xml:space="preserve"> in Table 3 represents below regr</w:t>
      </w:r>
      <w:r w:rsidR="006163B2">
        <w:rPr>
          <w:rFonts w:eastAsiaTheme="minorEastAsia"/>
        </w:rPr>
        <w:t>ession for our</w:t>
      </w:r>
      <m:oMath>
        <m:r>
          <w:rPr>
            <w:rFonts w:ascii="Cambria Math" w:eastAsiaTheme="minorEastAsia" w:hAnsi="Cambria Math"/>
          </w:rPr>
          <m:t xml:space="preserve"> N=8</m:t>
        </m:r>
      </m:oMath>
      <w:r w:rsidR="006163B2">
        <w:rPr>
          <w:rFonts w:eastAsiaTheme="minorEastAsia"/>
        </w:rPr>
        <w:t xml:space="preserve"> </w:t>
      </w:r>
      <w:r w:rsidRPr="00CC4CFF">
        <w:rPr>
          <w:rFonts w:eastAsiaTheme="minorEastAsia"/>
        </w:rPr>
        <w:t>total exchanges:</w:t>
      </w:r>
    </w:p>
    <w:p w:rsidR="00912A20" w:rsidRPr="007E5337" w:rsidRDefault="00912A20" w:rsidP="00CC4CF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1coin,t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0,1coin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i,1coin</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exchang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,t-1</m:t>
                  </m:r>
                </m:sub>
              </m:sSub>
            </m:e>
          </m:nary>
        </m:oMath>
      </m:oMathPara>
    </w:p>
    <w:p w:rsidR="007E5337" w:rsidRPr="00E723AD" w:rsidRDefault="00A524F5" w:rsidP="00B74F5D">
      <w:pPr>
        <w:spacing w:line="480" w:lineRule="auto"/>
        <w:rPr>
          <w:rFonts w:eastAsiaTheme="minorEastAsia"/>
        </w:rPr>
      </w:pPr>
      <w:r w:rsidRPr="00A524F5">
        <w:rPr>
          <w:rFonts w:eastAsiaTheme="minorEastAsia"/>
        </w:rPr>
        <w:t>We generally see significant and negative coefficients on the main diagonal, indicating tha</w:t>
      </w:r>
      <w:r>
        <w:rPr>
          <w:rFonts w:eastAsiaTheme="minorEastAsia"/>
        </w:rPr>
        <w:t>t an exchange's return at time</w:t>
      </w:r>
      <m:oMath>
        <m:r>
          <w:rPr>
            <w:rFonts w:ascii="Cambria Math" w:eastAsiaTheme="minorEastAsia" w:hAnsi="Cambria Math"/>
          </w:rPr>
          <m:t xml:space="preserve"> t</m:t>
        </m:r>
      </m:oMath>
      <w:r w:rsidRPr="00A524F5">
        <w:rPr>
          <w:rFonts w:eastAsiaTheme="minorEastAsia"/>
        </w:rPr>
        <w:t xml:space="preserve"> will mov</w:t>
      </w:r>
      <w:r>
        <w:rPr>
          <w:rFonts w:eastAsiaTheme="minorEastAsia"/>
        </w:rPr>
        <w:t>e opposite to the return at time</w:t>
      </w:r>
      <m:oMath>
        <m:r>
          <w:rPr>
            <w:rFonts w:ascii="Cambria Math" w:eastAsiaTheme="minorEastAsia" w:hAnsi="Cambria Math"/>
          </w:rPr>
          <m:t xml:space="preserve"> t-1</m:t>
        </m:r>
      </m:oMath>
      <w:r w:rsidRPr="00A524F5">
        <w:rPr>
          <w:rFonts w:eastAsiaTheme="minorEastAsia"/>
        </w:rPr>
        <w:t xml:space="preserve">. The autoregressive coefficients for itBit and ANXBTC are particularly high in absolute value, and their p-values are </w:t>
      </w:r>
      <w:r w:rsidRPr="00A524F5">
        <w:rPr>
          <w:rFonts w:eastAsiaTheme="minorEastAsia"/>
        </w:rPr>
        <w:lastRenderedPageBreak/>
        <w:t xml:space="preserve">extremely low (on the orders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-78</m:t>
            </m:r>
          </m:sup>
        </m:sSup>
      </m:oMath>
      <w:r>
        <w:rPr>
          <w:rFonts w:eastAsiaTheme="minorEastAsia"/>
        </w:rPr>
        <w:t xml:space="preserve"> and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-115</m:t>
            </m:r>
          </m:sup>
        </m:sSup>
      </m:oMath>
      <w:r w:rsidRPr="00A524F5">
        <w:rPr>
          <w:rFonts w:eastAsiaTheme="minorEastAsia"/>
        </w:rPr>
        <w:t xml:space="preserve">). The returns for ANXBTC are significantly affected by only itself, Bitfinex, and the growing Kraken exchange. This scarcity of significant effects may be attributed to the omitted effects of other large Chinese exchanges such as </w:t>
      </w:r>
      <w:proofErr w:type="spellStart"/>
      <w:r w:rsidRPr="00A524F5">
        <w:rPr>
          <w:rFonts w:eastAsiaTheme="minorEastAsia"/>
        </w:rPr>
        <w:t>BTCChina</w:t>
      </w:r>
      <w:proofErr w:type="spellEnd"/>
      <w:r w:rsidRPr="00A524F5">
        <w:rPr>
          <w:rFonts w:eastAsiaTheme="minorEastAsia"/>
        </w:rPr>
        <w:t xml:space="preserve"> and </w:t>
      </w:r>
      <w:proofErr w:type="spellStart"/>
      <w:r w:rsidRPr="00A524F5">
        <w:rPr>
          <w:rFonts w:eastAsiaTheme="minorEastAsia"/>
        </w:rPr>
        <w:t>Huobi</w:t>
      </w:r>
      <w:proofErr w:type="spellEnd"/>
      <w:r w:rsidRPr="00A524F5">
        <w:rPr>
          <w:rFonts w:eastAsiaTheme="minorEastAsia"/>
        </w:rPr>
        <w:t xml:space="preserve">. Although </w:t>
      </w:r>
      <w:proofErr w:type="spellStart"/>
      <w:r w:rsidRPr="00A524F5">
        <w:rPr>
          <w:rFonts w:eastAsiaTheme="minorEastAsia"/>
        </w:rPr>
        <w:t>Bitstamp</w:t>
      </w:r>
      <w:proofErr w:type="spellEnd"/>
      <w:r w:rsidRPr="00A524F5">
        <w:rPr>
          <w:rFonts w:eastAsiaTheme="minorEastAsia"/>
        </w:rPr>
        <w:t xml:space="preserve"> was previously the largest exchange, after a catastrophic breach in January 2015, it quickly yielded to the growing </w:t>
      </w:r>
      <w:proofErr w:type="spellStart"/>
      <w:r w:rsidRPr="00A524F5">
        <w:rPr>
          <w:rFonts w:eastAsiaTheme="minorEastAsia"/>
        </w:rPr>
        <w:t>Bitfinex</w:t>
      </w:r>
      <w:proofErr w:type="spellEnd"/>
      <w:r w:rsidRPr="00A524F5">
        <w:rPr>
          <w:rFonts w:eastAsiaTheme="minorEastAsia"/>
        </w:rPr>
        <w:t xml:space="preserve"> exchange, which in the above table wields significant in </w:t>
      </w:r>
      <w:proofErr w:type="spellStart"/>
      <w:r w:rsidRPr="00A524F5">
        <w:rPr>
          <w:rFonts w:eastAsiaTheme="minorEastAsia"/>
        </w:rPr>
        <w:t>uence</w:t>
      </w:r>
      <w:proofErr w:type="spellEnd"/>
      <w:r w:rsidRPr="00A524F5">
        <w:rPr>
          <w:rFonts w:eastAsiaTheme="minorEastAsia"/>
        </w:rPr>
        <w:t xml:space="preserve"> over all other exchanges (Bitcoinity.org). This suggests that Bitcoin investors, following the accident, moved their assets away from </w:t>
      </w:r>
      <w:proofErr w:type="spellStart"/>
      <w:r w:rsidRPr="00A524F5">
        <w:rPr>
          <w:rFonts w:eastAsiaTheme="minorEastAsia"/>
        </w:rPr>
        <w:t>Bitstamp</w:t>
      </w:r>
      <w:proofErr w:type="spellEnd"/>
      <w:r w:rsidRPr="00A524F5">
        <w:rPr>
          <w:rFonts w:eastAsiaTheme="minorEastAsia"/>
        </w:rPr>
        <w:t xml:space="preserve"> into more secure institutions. As a result, while </w:t>
      </w:r>
      <w:proofErr w:type="spellStart"/>
      <w:r w:rsidRPr="00A524F5">
        <w:rPr>
          <w:rFonts w:eastAsiaTheme="minorEastAsia"/>
        </w:rPr>
        <w:t>Bitstamp</w:t>
      </w:r>
      <w:proofErr w:type="spellEnd"/>
      <w:r w:rsidRPr="00A524F5">
        <w:rPr>
          <w:rFonts w:eastAsiaTheme="minorEastAsia"/>
        </w:rPr>
        <w:t xml:space="preserve">, </w:t>
      </w:r>
      <w:proofErr w:type="spellStart"/>
      <w:r w:rsidRPr="00A524F5">
        <w:rPr>
          <w:rFonts w:eastAsiaTheme="minorEastAsia"/>
        </w:rPr>
        <w:t>Bitfinex</w:t>
      </w:r>
      <w:proofErr w:type="spellEnd"/>
      <w:r w:rsidRPr="00A524F5">
        <w:rPr>
          <w:rFonts w:eastAsiaTheme="minorEastAsia"/>
        </w:rPr>
        <w:t xml:space="preserve">, and </w:t>
      </w:r>
      <w:proofErr w:type="spellStart"/>
      <w:r w:rsidRPr="00A524F5">
        <w:rPr>
          <w:rFonts w:eastAsiaTheme="minorEastAsia"/>
        </w:rPr>
        <w:t>LakeBTC</w:t>
      </w:r>
      <w:proofErr w:type="spellEnd"/>
      <w:r w:rsidRPr="00A524F5">
        <w:rPr>
          <w:rFonts w:eastAsiaTheme="minorEastAsia"/>
        </w:rPr>
        <w:t xml:space="preserve"> all in </w:t>
      </w:r>
      <w:proofErr w:type="spellStart"/>
      <w:r w:rsidRPr="00A524F5">
        <w:rPr>
          <w:rFonts w:eastAsiaTheme="minorEastAsia"/>
        </w:rPr>
        <w:t>uence</w:t>
      </w:r>
      <w:proofErr w:type="spellEnd"/>
      <w:r w:rsidRPr="00A524F5">
        <w:rPr>
          <w:rFonts w:eastAsiaTheme="minorEastAsia"/>
        </w:rPr>
        <w:t xml:space="preserve"> each other, </w:t>
      </w:r>
      <w:proofErr w:type="spellStart"/>
      <w:r w:rsidRPr="00A524F5">
        <w:rPr>
          <w:rFonts w:eastAsiaTheme="minorEastAsia"/>
        </w:rPr>
        <w:t>Bitstamp's</w:t>
      </w:r>
      <w:proofErr w:type="spellEnd"/>
      <w:r w:rsidRPr="00A524F5">
        <w:rPr>
          <w:rFonts w:eastAsiaTheme="minorEastAsia"/>
        </w:rPr>
        <w:t xml:space="preserve"> effects are notably weaker. Finally, it is evident larger exchanges have a generally stronger impact on smaller ones, rather than the other way around. Figure 5 (Appendix) shows the residual series for each individual regression estimated by </w:t>
      </w:r>
      <w:proofErr w:type="gramStart"/>
      <w:r w:rsidRPr="00A524F5">
        <w:rPr>
          <w:rFonts w:eastAsiaTheme="minorEastAsia"/>
        </w:rPr>
        <w:t>VAR(</w:t>
      </w:r>
      <w:proofErr w:type="gramEnd"/>
      <w:r w:rsidRPr="00A524F5">
        <w:rPr>
          <w:rFonts w:eastAsiaTheme="minorEastAsia"/>
        </w:rPr>
        <w:t>1). The Bitcoin data exhibits clear volatility clustering: alternating periods of turmoil and calm. To detect ARCH effects, one can use Engle's (1982) well-known Lagrange Mu</w:t>
      </w:r>
      <w:r w:rsidR="00756CDE">
        <w:rPr>
          <w:rFonts w:eastAsiaTheme="minorEastAsia"/>
        </w:rPr>
        <w:t xml:space="preserve">ltiplier test, which yields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Pr="00A524F5">
        <w:rPr>
          <w:rFonts w:eastAsiaTheme="minorEastAsia"/>
        </w:rPr>
        <w:t xml:space="preserve"> statistic. Running the test on the various lags for the eight</w:t>
      </w:r>
      <w:r w:rsidR="00756CDE">
        <w:rPr>
          <w:rFonts w:eastAsiaTheme="minorEastAsia"/>
        </w:rPr>
        <w:t xml:space="preserve"> Bitcoin exchanges yields high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Pr="00A524F5">
        <w:rPr>
          <w:rFonts w:eastAsiaTheme="minorEastAsia"/>
        </w:rPr>
        <w:t xml:space="preserve"> values:</w:t>
      </w:r>
    </w:p>
    <w:p w:rsidR="00E831EC" w:rsidRDefault="00756CDE" w:rsidP="00525B35">
      <w:pPr>
        <w:spacing w:line="480" w:lineRule="auto"/>
        <w:rPr>
          <w:rFonts w:eastAsiaTheme="minorEastAsia"/>
        </w:rPr>
      </w:pPr>
      <w:r>
        <w:rPr>
          <w:rFonts w:eastAsiaTheme="minorEastAsia"/>
        </w:rPr>
        <w:t>[</w:t>
      </w:r>
      <w:r w:rsidR="004971B4">
        <w:rPr>
          <w:rFonts w:eastAsiaTheme="minorEastAsia"/>
        </w:rPr>
        <w:t>Table 3]</w:t>
      </w:r>
    </w:p>
    <w:p w:rsidR="002D0514" w:rsidRDefault="004971B4" w:rsidP="00525B35">
      <w:pPr>
        <w:spacing w:line="480" w:lineRule="auto"/>
        <w:rPr>
          <w:rFonts w:eastAsiaTheme="minorEastAsia"/>
        </w:rPr>
      </w:pPr>
      <w:r w:rsidRPr="004971B4">
        <w:rPr>
          <w:rFonts w:eastAsiaTheme="minorEastAsia"/>
        </w:rPr>
        <w:t xml:space="preserve">High test statistics and low corresponding p-values </w:t>
      </w:r>
      <w:r>
        <w:rPr>
          <w:rFonts w:eastAsiaTheme="minorEastAsia"/>
        </w:rPr>
        <w:t>suggest</w:t>
      </w:r>
      <w:r w:rsidRPr="004971B4">
        <w:rPr>
          <w:rFonts w:eastAsiaTheme="minorEastAsia"/>
        </w:rPr>
        <w:t xml:space="preserve"> extremely significant ARCH effects, with 1coin's third lag being the least significant (but still well under the 5% level). To confirm this, we also run McLeod &amp; Li's (1983) test for conditional </w:t>
      </w:r>
      <w:proofErr w:type="spellStart"/>
      <w:r w:rsidRPr="004971B4">
        <w:rPr>
          <w:rFonts w:eastAsiaTheme="minorEastAsia"/>
        </w:rPr>
        <w:t>heteroskedasticity</w:t>
      </w:r>
      <w:proofErr w:type="spellEnd"/>
      <w:r w:rsidRPr="004971B4">
        <w:rPr>
          <w:rFonts w:eastAsiaTheme="minorEastAsia"/>
        </w:rPr>
        <w:t>. Plots of the p-values are in Figure 6 (Appendix), which similarly confirm the existence of volatility clustering. Although</w:t>
      </w:r>
      <w:r w:rsidR="002D0514">
        <w:rPr>
          <w:rFonts w:eastAsiaTheme="minorEastAsia"/>
        </w:rPr>
        <w:t xml:space="preserve"> </w:t>
      </w:r>
      <w:r w:rsidR="002D0514" w:rsidRPr="002D0514">
        <w:rPr>
          <w:rFonts w:eastAsiaTheme="minorEastAsia"/>
        </w:rPr>
        <w:t xml:space="preserve">all lags are significant, many studies use only </w:t>
      </w:r>
      <w:proofErr w:type="gramStart"/>
      <w:r w:rsidR="002D0514" w:rsidRPr="002D0514">
        <w:rPr>
          <w:rFonts w:eastAsiaTheme="minorEastAsia"/>
        </w:rPr>
        <w:t>GARCH(</w:t>
      </w:r>
      <w:proofErr w:type="gramEnd"/>
      <w:r w:rsidR="002D0514" w:rsidRPr="002D0514">
        <w:rPr>
          <w:rFonts w:eastAsiaTheme="minorEastAsia"/>
        </w:rPr>
        <w:t xml:space="preserve">1,1) for the univariate GARCH models involved in CCC- and DCC-GARCH, including Engle (2002) in his original work. Therefore, we follow the literature with a parsimonious </w:t>
      </w:r>
      <w:proofErr w:type="gramStart"/>
      <w:r w:rsidR="002D0514" w:rsidRPr="002D0514">
        <w:rPr>
          <w:rFonts w:eastAsiaTheme="minorEastAsia"/>
        </w:rPr>
        <w:t>GARCH(</w:t>
      </w:r>
      <w:proofErr w:type="gramEnd"/>
      <w:r w:rsidR="002D0514" w:rsidRPr="002D0514">
        <w:rPr>
          <w:rFonts w:eastAsiaTheme="minorEastAsia"/>
        </w:rPr>
        <w:t xml:space="preserve">1,1). </w:t>
      </w:r>
    </w:p>
    <w:p w:rsidR="004971B4" w:rsidRDefault="002D0514" w:rsidP="002D0514">
      <w:pPr>
        <w:spacing w:line="480" w:lineRule="auto"/>
        <w:ind w:firstLine="720"/>
        <w:rPr>
          <w:rFonts w:eastAsiaTheme="minorEastAsia"/>
        </w:rPr>
      </w:pPr>
      <w:r w:rsidRPr="002D0514">
        <w:rPr>
          <w:rFonts w:eastAsiaTheme="minorEastAsia"/>
        </w:rPr>
        <w:lastRenderedPageBreak/>
        <w:t xml:space="preserve">The regular CCC-GARCH and DCC-GARCH models do not directly estimate one-way spillover coefficients, but do measure symmetric correlations in volatility. Therefore, one can find which exchanges are the focal points of volatility spillovers simply through the number and magnitude of their correlation coefficients. For example, if </w:t>
      </w:r>
      <w:proofErr w:type="spellStart"/>
      <w:r w:rsidRPr="002D0514">
        <w:rPr>
          <w:rFonts w:eastAsiaTheme="minorEastAsia"/>
        </w:rPr>
        <w:t>Bitfinex</w:t>
      </w:r>
      <w:proofErr w:type="spellEnd"/>
      <w:r w:rsidRPr="002D0514">
        <w:rPr>
          <w:rFonts w:eastAsiaTheme="minorEastAsia"/>
        </w:rPr>
        <w:t xml:space="preserve"> demonstrates comparatively high correlations in volatility with every other exchange, we may deduce that </w:t>
      </w:r>
      <w:proofErr w:type="spellStart"/>
      <w:r w:rsidRPr="002D0514">
        <w:rPr>
          <w:rFonts w:eastAsiaTheme="minorEastAsia"/>
        </w:rPr>
        <w:t>Bitfinex</w:t>
      </w:r>
      <w:proofErr w:type="spellEnd"/>
      <w:r w:rsidRPr="002D0514">
        <w:rPr>
          <w:rFonts w:eastAsiaTheme="minorEastAsia"/>
        </w:rPr>
        <w:t xml:space="preserve"> is a central transmitter or receiver of volatility. Table 7 (Appendix) shows the conditional correlations between the series, estimated with CCC-GARCH under the assumption of constant conditional correlations. All correlations are positive and extremely significant. We would expect this under CCC's constant correlation </w:t>
      </w:r>
      <w:r w:rsidR="00C54178">
        <w:rPr>
          <w:rFonts w:eastAsiaTheme="minorEastAsia"/>
        </w:rPr>
        <w:t xml:space="preserve">assumption, since historically </w:t>
      </w:r>
      <w:r w:rsidRPr="002D0514">
        <w:rPr>
          <w:rFonts w:eastAsiaTheme="minorEastAsia"/>
        </w:rPr>
        <w:t>major shocks have generally been followed by high volatility simultaneously across exchanges. The largest correlation coefficients, with the exc</w:t>
      </w:r>
      <w:r w:rsidR="00C54178">
        <w:rPr>
          <w:rFonts w:eastAsiaTheme="minorEastAsia"/>
        </w:rPr>
        <w:t xml:space="preserve">eption of </w:t>
      </w:r>
      <w:proofErr w:type="spellStart"/>
      <w:r w:rsidR="00C54178">
        <w:rPr>
          <w:rFonts w:eastAsiaTheme="minorEastAsia"/>
        </w:rPr>
        <w:t>HitBTC</w:t>
      </w:r>
      <w:proofErr w:type="spellEnd"/>
      <w:r w:rsidR="00C54178">
        <w:rPr>
          <w:rFonts w:eastAsiaTheme="minorEastAsia"/>
        </w:rPr>
        <w:t xml:space="preserve">, belong to the </w:t>
      </w:r>
      <w:proofErr w:type="spellStart"/>
      <w:r w:rsidRPr="002D0514">
        <w:rPr>
          <w:rFonts w:eastAsiaTheme="minorEastAsia"/>
        </w:rPr>
        <w:t>Bitfinex</w:t>
      </w:r>
      <w:proofErr w:type="spellEnd"/>
      <w:r w:rsidRPr="002D0514">
        <w:rPr>
          <w:rFonts w:eastAsiaTheme="minorEastAsia"/>
        </w:rPr>
        <w:t>/</w:t>
      </w:r>
      <w:proofErr w:type="spellStart"/>
      <w:r w:rsidRPr="002D0514">
        <w:rPr>
          <w:rFonts w:eastAsiaTheme="minorEastAsia"/>
        </w:rPr>
        <w:t>Bitstamp</w:t>
      </w:r>
      <w:proofErr w:type="spellEnd"/>
      <w:r w:rsidRPr="002D0514">
        <w:rPr>
          <w:rFonts w:eastAsiaTheme="minorEastAsia"/>
        </w:rPr>
        <w:t>/</w:t>
      </w:r>
      <w:proofErr w:type="spellStart"/>
      <w:r w:rsidRPr="002D0514">
        <w:rPr>
          <w:rFonts w:eastAsiaTheme="minorEastAsia"/>
        </w:rPr>
        <w:t>LakeBTC</w:t>
      </w:r>
      <w:proofErr w:type="spellEnd"/>
      <w:r w:rsidRPr="002D0514">
        <w:rPr>
          <w:rFonts w:eastAsiaTheme="minorEastAsia"/>
        </w:rPr>
        <w:t xml:space="preserve"> trading pairs. However, pairs involving smaller exchanges generally have much lower correlations. This suggests that price information updates near-instantaneously across the highly efficient large exchanges, while propagating more slowly to update inefficient smaller ones. The individual univariate </w:t>
      </w:r>
      <w:proofErr w:type="gramStart"/>
      <w:r w:rsidRPr="002D0514">
        <w:rPr>
          <w:rFonts w:eastAsiaTheme="minorEastAsia"/>
        </w:rPr>
        <w:t>GARCH(</w:t>
      </w:r>
      <w:proofErr w:type="gramEnd"/>
      <w:r w:rsidRPr="002D0514">
        <w:rPr>
          <w:rFonts w:eastAsiaTheme="minorEastAsia"/>
        </w:rPr>
        <w:t>1,1) models, fitted for CCC-GARCH, s</w:t>
      </w:r>
      <w:r>
        <w:rPr>
          <w:rFonts w:eastAsiaTheme="minorEastAsia"/>
        </w:rPr>
        <w:t>how generally high persistence</w:t>
      </w:r>
      <m:oMath>
        <m:r>
          <w:rPr>
            <w:rFonts w:ascii="Cambria Math" w:eastAsiaTheme="minorEastAsia" w:hAnsi="Cambria Math"/>
          </w:rPr>
          <m:t xml:space="preserve"> (a+B)</m:t>
        </m:r>
      </m:oMath>
      <w:r>
        <w:rPr>
          <w:rFonts w:eastAsiaTheme="minorEastAsia"/>
        </w:rPr>
        <w:t xml:space="preserve">, </w:t>
      </w:r>
      <w:r w:rsidRPr="002D0514">
        <w:rPr>
          <w:rFonts w:eastAsiaTheme="minorEastAsia"/>
        </w:rPr>
        <w:t>as seen below in Table 4.</w:t>
      </w:r>
    </w:p>
    <w:p w:rsidR="00C30400" w:rsidRDefault="00C30400" w:rsidP="00C30400">
      <w:pPr>
        <w:spacing w:line="480" w:lineRule="auto"/>
        <w:rPr>
          <w:rFonts w:eastAsiaTheme="minorEastAsia"/>
        </w:rPr>
      </w:pPr>
      <w:r>
        <w:rPr>
          <w:rFonts w:eastAsiaTheme="minorEastAsia"/>
        </w:rPr>
        <w:t>[</w:t>
      </w:r>
      <w:proofErr w:type="gramStart"/>
      <w:r>
        <w:rPr>
          <w:rFonts w:eastAsiaTheme="minorEastAsia"/>
        </w:rPr>
        <w:t>table</w:t>
      </w:r>
      <w:proofErr w:type="gramEnd"/>
      <w:r>
        <w:rPr>
          <w:rFonts w:eastAsiaTheme="minorEastAsia"/>
        </w:rPr>
        <w:t xml:space="preserve"> 4]</w:t>
      </w:r>
    </w:p>
    <w:p w:rsidR="00763F51" w:rsidRDefault="00E87AA3" w:rsidP="00763F51">
      <w:pPr>
        <w:spacing w:line="480" w:lineRule="auto"/>
        <w:ind w:firstLine="720"/>
        <w:rPr>
          <w:rFonts w:eastAsiaTheme="minorEastAsia"/>
        </w:rPr>
      </w:pPr>
      <w:r>
        <w:rPr>
          <w:rFonts w:eastAsiaTheme="minorEastAsia"/>
        </w:rPr>
        <w:t>In particular, t</w:t>
      </w:r>
      <w:r w:rsidRPr="00E87AA3">
        <w:rPr>
          <w:rFonts w:eastAsiaTheme="minorEastAsia"/>
        </w:rPr>
        <w:t xml:space="preserve">he persistence of larger exchanges is generally close to 1. This is intuitive, since volatility shocks in these high-volume institutions may take a very long time to disappear. Smaller exchanges also display medium-high persistence, which may be attributed to spillovers from their larger neighbors. The results of Dynamic Conditional Correlation GARCH are shown in Table 8 (Appendix).The coefficients in the table are the conditional </w:t>
      </w:r>
      <w:proofErr w:type="spellStart"/>
      <w:r w:rsidRPr="00E87AA3">
        <w:rPr>
          <w:rFonts w:eastAsiaTheme="minorEastAsia"/>
        </w:rPr>
        <w:t>quasicorrelations</w:t>
      </w:r>
      <w:proofErr w:type="spellEnd"/>
      <w:r w:rsidRPr="00E87AA3">
        <w:rPr>
          <w:rFonts w:eastAsiaTheme="minorEastAsia"/>
        </w:rPr>
        <w:t xml:space="preserve"> in the time-variant DCC-GARCH model. While almost all the coefficients are statistically significant at </w:t>
      </w:r>
      <w:r w:rsidRPr="00E87AA3">
        <w:rPr>
          <w:rFonts w:eastAsiaTheme="minorEastAsia"/>
        </w:rPr>
        <w:lastRenderedPageBreak/>
        <w:t xml:space="preserve">the 5% level, they are also roughly increasing in the </w:t>
      </w:r>
      <w:proofErr w:type="spellStart"/>
      <w:r w:rsidRPr="00E87AA3">
        <w:rPr>
          <w:rFonts w:eastAsiaTheme="minorEastAsia"/>
        </w:rPr>
        <w:t>quasicorrelation</w:t>
      </w:r>
      <w:proofErr w:type="spellEnd"/>
      <w:r w:rsidRPr="00E87AA3">
        <w:rPr>
          <w:rFonts w:eastAsiaTheme="minorEastAsia"/>
        </w:rPr>
        <w:t xml:space="preserve"> coefficients. Therefore, </w:t>
      </w:r>
      <w:proofErr w:type="gramStart"/>
      <w:r w:rsidRPr="00E87AA3">
        <w:rPr>
          <w:rFonts w:eastAsiaTheme="minorEastAsia"/>
        </w:rPr>
        <w:t xml:space="preserve">larger differences in </w:t>
      </w:r>
      <w:proofErr w:type="spellStart"/>
      <w:r w:rsidRPr="00E87AA3">
        <w:rPr>
          <w:rFonts w:eastAsiaTheme="minorEastAsia"/>
        </w:rPr>
        <w:t>quasicorrelation</w:t>
      </w:r>
      <w:proofErr w:type="spellEnd"/>
      <w:r w:rsidRPr="00E87AA3">
        <w:rPr>
          <w:rFonts w:eastAsiaTheme="minorEastAsia"/>
        </w:rPr>
        <w:t xml:space="preserve"> magnitude allows</w:t>
      </w:r>
      <w:proofErr w:type="gramEnd"/>
      <w:r w:rsidRPr="00E87AA3">
        <w:rPr>
          <w:rFonts w:eastAsiaTheme="minorEastAsia"/>
        </w:rPr>
        <w:t xml:space="preserve"> us to infer stronger causality. The largest, most significant </w:t>
      </w:r>
      <w:proofErr w:type="spellStart"/>
      <w:r w:rsidRPr="00E87AA3">
        <w:rPr>
          <w:rFonts w:eastAsiaTheme="minorEastAsia"/>
        </w:rPr>
        <w:t>quasicorrelations</w:t>
      </w:r>
      <w:proofErr w:type="spellEnd"/>
      <w:r w:rsidRPr="00E87AA3">
        <w:rPr>
          <w:rFonts w:eastAsiaTheme="minorEastAsia"/>
        </w:rPr>
        <w:t xml:space="preserve"> are between </w:t>
      </w:r>
      <w:proofErr w:type="spellStart"/>
      <w:r w:rsidRPr="00E87AA3">
        <w:rPr>
          <w:rFonts w:eastAsiaTheme="minorEastAsia"/>
        </w:rPr>
        <w:t>Bitfinex</w:t>
      </w:r>
      <w:proofErr w:type="spellEnd"/>
      <w:r w:rsidRPr="00E87AA3">
        <w:rPr>
          <w:rFonts w:eastAsiaTheme="minorEastAsia"/>
        </w:rPr>
        <w:t>/</w:t>
      </w:r>
      <w:proofErr w:type="spellStart"/>
      <w:r w:rsidRPr="00E87AA3">
        <w:rPr>
          <w:rFonts w:eastAsiaTheme="minorEastAsia"/>
        </w:rPr>
        <w:t>Bitstamp</w:t>
      </w:r>
      <w:proofErr w:type="spellEnd"/>
      <w:r w:rsidRPr="00E87AA3">
        <w:rPr>
          <w:rFonts w:eastAsiaTheme="minorEastAsia"/>
        </w:rPr>
        <w:t>/</w:t>
      </w:r>
      <w:proofErr w:type="spellStart"/>
      <w:r w:rsidRPr="00E87AA3">
        <w:rPr>
          <w:rFonts w:eastAsiaTheme="minorEastAsia"/>
        </w:rPr>
        <w:t>LakeBTC</w:t>
      </w:r>
      <w:proofErr w:type="spellEnd"/>
      <w:r w:rsidRPr="00E87AA3">
        <w:rPr>
          <w:rFonts w:eastAsiaTheme="minorEastAsia"/>
        </w:rPr>
        <w:t xml:space="preserve">, perhaps due to the market efficiency in big exchanges discussed earlier. We also observe fairly high coefficients in larger/smaller pairs, while the smaller/smaller pairs tend to have the lowest coefficients. These results strongly suggest that volatility from a large exchange indeed leaks into its neighbors, although surprisingly, larger neighbors are impacted far more than smaller ones. One can therefore infer the existence of a positive feedback loop that amplifies volatility as it circulates across the large exchanges, allowing shocks to persist for long periods of time. </w:t>
      </w:r>
    </w:p>
    <w:p w:rsidR="00C30400" w:rsidRDefault="00E87AA3" w:rsidP="00763F51">
      <w:pPr>
        <w:spacing w:line="480" w:lineRule="auto"/>
        <w:ind w:firstLine="720"/>
        <w:rPr>
          <w:rFonts w:eastAsiaTheme="minorEastAsia"/>
        </w:rPr>
      </w:pPr>
      <w:r w:rsidRPr="00E87AA3">
        <w:rPr>
          <w:rFonts w:eastAsiaTheme="minorEastAsia"/>
        </w:rPr>
        <w:t>A simpl</w:t>
      </w:r>
      <w:r>
        <w:rPr>
          <w:rFonts w:eastAsiaTheme="minorEastAsia"/>
        </w:rPr>
        <w:t>e Wald test with the hypothesis</w:t>
      </w:r>
      <m:oMath>
        <m:r>
          <m:rPr>
            <m:lit/>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=0 </m:t>
        </m:r>
      </m:oMath>
      <w:r w:rsidRPr="00E87AA3">
        <w:rPr>
          <w:rFonts w:eastAsiaTheme="minorEastAsia"/>
        </w:rPr>
        <w:t>gives a very large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e>
        </m:d>
      </m:oMath>
      <w:r w:rsidR="00296645">
        <w:rPr>
          <w:rFonts w:eastAsiaTheme="minorEastAsia"/>
        </w:rPr>
        <w:t xml:space="preserve"> </w:t>
      </w:r>
      <w:r w:rsidR="00296645">
        <w:rPr>
          <w:rFonts w:eastAsiaTheme="minorEastAsia"/>
        </w:rPr>
        <w:softHyphen/>
        <w:t>statistic on the order of</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296645">
        <w:rPr>
          <w:rFonts w:eastAsiaTheme="minorEastAsia"/>
        </w:rPr>
        <w:t>,</w:t>
      </w:r>
      <w:r w:rsidRPr="00E87AA3">
        <w:rPr>
          <w:rFonts w:eastAsiaTheme="minorEastAsia"/>
        </w:rPr>
        <w:t xml:space="preserve"> and a very s</w:t>
      </w:r>
      <w:r w:rsidR="00763F51">
        <w:rPr>
          <w:rFonts w:eastAsiaTheme="minorEastAsia"/>
        </w:rPr>
        <w:t>mall corresponding p-</w:t>
      </w:r>
      <w:r w:rsidRPr="00E87AA3">
        <w:rPr>
          <w:rFonts w:eastAsiaTheme="minorEastAsia"/>
        </w:rPr>
        <w:t xml:space="preserve">value. We can therefore reject the CCC-GARCH assumption of constant conditional correlations in volatility across these Bitcoin series, which can be confirmed with visual analysis. In Figure 1 below, we see the conditional correlations plotted over time for the top 3 exchanges: </w:t>
      </w:r>
      <w:proofErr w:type="spellStart"/>
      <w:r w:rsidRPr="00E87AA3">
        <w:rPr>
          <w:rFonts w:eastAsiaTheme="minorEastAsia"/>
        </w:rPr>
        <w:t>Bitstamp</w:t>
      </w:r>
      <w:proofErr w:type="spellEnd"/>
      <w:r w:rsidRPr="00E87AA3">
        <w:rPr>
          <w:rFonts w:eastAsiaTheme="minorEastAsia"/>
        </w:rPr>
        <w:t xml:space="preserve">, </w:t>
      </w:r>
      <w:proofErr w:type="spellStart"/>
      <w:r w:rsidRPr="00E87AA3">
        <w:rPr>
          <w:rFonts w:eastAsiaTheme="minorEastAsia"/>
        </w:rPr>
        <w:t>Bitfinex</w:t>
      </w:r>
      <w:proofErr w:type="spellEnd"/>
      <w:r w:rsidRPr="00E87AA3">
        <w:rPr>
          <w:rFonts w:eastAsiaTheme="minorEastAsia"/>
        </w:rPr>
        <w:t xml:space="preserve">, and </w:t>
      </w:r>
      <w:proofErr w:type="spellStart"/>
      <w:r w:rsidRPr="00E87AA3">
        <w:rPr>
          <w:rFonts w:eastAsiaTheme="minorEastAsia"/>
        </w:rPr>
        <w:t>LakeBTC</w:t>
      </w:r>
      <w:proofErr w:type="spellEnd"/>
      <w:r w:rsidRPr="00E87AA3">
        <w:rPr>
          <w:rFonts w:eastAsiaTheme="minorEastAsia"/>
        </w:rPr>
        <w:t>.</w:t>
      </w:r>
    </w:p>
    <w:p w:rsidR="00B20FCA" w:rsidRDefault="00B20FCA" w:rsidP="00C30400">
      <w:pPr>
        <w:spacing w:line="480" w:lineRule="auto"/>
        <w:rPr>
          <w:rFonts w:eastAsiaTheme="minorEastAsia"/>
        </w:rPr>
      </w:pPr>
      <w:r>
        <w:rPr>
          <w:rFonts w:eastAsiaTheme="minorEastAsia"/>
        </w:rPr>
        <w:t>[</w:t>
      </w:r>
      <w:proofErr w:type="gramStart"/>
      <w:r>
        <w:rPr>
          <w:rFonts w:eastAsiaTheme="minorEastAsia"/>
        </w:rPr>
        <w:t>figure</w:t>
      </w:r>
      <w:proofErr w:type="gramEnd"/>
      <w:r>
        <w:rPr>
          <w:rFonts w:eastAsiaTheme="minorEastAsia"/>
        </w:rPr>
        <w:t xml:space="preserve"> 1. don’t forget to redo so doesn’t need color. try making lines smaller]</w:t>
      </w:r>
    </w:p>
    <w:p w:rsidR="00607ED6" w:rsidRDefault="00763F51" w:rsidP="00763F51">
      <w:pPr>
        <w:spacing w:line="480" w:lineRule="auto"/>
        <w:ind w:firstLine="720"/>
        <w:rPr>
          <w:rFonts w:eastAsiaTheme="minorEastAsia"/>
        </w:rPr>
      </w:pPr>
      <w:r w:rsidRPr="00763F51">
        <w:rPr>
          <w:rFonts w:eastAsiaTheme="minorEastAsia"/>
        </w:rPr>
        <w:t xml:space="preserve">The conditional correlations are all very high, and move similarly: </w:t>
      </w:r>
      <w:proofErr w:type="spellStart"/>
      <w:r w:rsidRPr="00763F51">
        <w:rPr>
          <w:rFonts w:eastAsiaTheme="minorEastAsia"/>
        </w:rPr>
        <w:t>Bitstamp</w:t>
      </w:r>
      <w:proofErr w:type="spellEnd"/>
      <w:r w:rsidRPr="00763F51">
        <w:rPr>
          <w:rFonts w:eastAsiaTheme="minorEastAsia"/>
        </w:rPr>
        <w:t xml:space="preserve"> and </w:t>
      </w:r>
      <w:proofErr w:type="spellStart"/>
      <w:r w:rsidRPr="00763F51">
        <w:rPr>
          <w:rFonts w:eastAsiaTheme="minorEastAsia"/>
        </w:rPr>
        <w:t>Bitfinex</w:t>
      </w:r>
      <w:proofErr w:type="spellEnd"/>
      <w:r w:rsidRPr="00763F51">
        <w:rPr>
          <w:rFonts w:eastAsiaTheme="minorEastAsia"/>
        </w:rPr>
        <w:t xml:space="preserve"> have a mean conditional correlation of approximately 0.916. Such similar co-movements in the conditional correlations lend support to the </w:t>
      </w:r>
      <w:r w:rsidR="00D25643">
        <w:rPr>
          <w:rFonts w:eastAsiaTheme="minorEastAsia"/>
        </w:rPr>
        <w:t>market efficiency</w:t>
      </w:r>
      <w:r w:rsidRPr="00763F51">
        <w:rPr>
          <w:rFonts w:eastAsiaTheme="minorEastAsia"/>
        </w:rPr>
        <w:t xml:space="preserve"> proposed earlier. Evidence for this appears in the plots for the smaller exchanges: the conditional correlations between smaller exchanges and </w:t>
      </w:r>
      <w:proofErr w:type="spellStart"/>
      <w:r w:rsidRPr="00763F51">
        <w:rPr>
          <w:rFonts w:eastAsiaTheme="minorEastAsia"/>
        </w:rPr>
        <w:t>Bitstamp</w:t>
      </w:r>
      <w:proofErr w:type="spellEnd"/>
      <w:r w:rsidRPr="00763F51">
        <w:rPr>
          <w:rFonts w:eastAsiaTheme="minorEastAsia"/>
        </w:rPr>
        <w:t>/</w:t>
      </w:r>
      <w:proofErr w:type="spellStart"/>
      <w:r w:rsidRPr="00763F51">
        <w:rPr>
          <w:rFonts w:eastAsiaTheme="minorEastAsia"/>
        </w:rPr>
        <w:t>Bitfinex</w:t>
      </w:r>
      <w:proofErr w:type="spellEnd"/>
      <w:r w:rsidRPr="00763F51">
        <w:rPr>
          <w:rFonts w:eastAsiaTheme="minorEastAsia"/>
        </w:rPr>
        <w:t xml:space="preserve"> are </w:t>
      </w:r>
      <w:r w:rsidR="0097547B">
        <w:rPr>
          <w:rFonts w:eastAsiaTheme="minorEastAsia"/>
        </w:rPr>
        <w:t>noticeably lower, and likely refl</w:t>
      </w:r>
      <w:r w:rsidRPr="00763F51">
        <w:rPr>
          <w:rFonts w:eastAsiaTheme="minorEastAsia"/>
        </w:rPr>
        <w:t>ect the delay in price information from those large exchanges. Figure 7 (Appendix) confirms that correlations change drastically over time, since CCC-GARCH wou</w:t>
      </w:r>
      <w:r w:rsidR="0097547B">
        <w:rPr>
          <w:rFonts w:eastAsiaTheme="minorEastAsia"/>
        </w:rPr>
        <w:t>ld model the correlations as a fl</w:t>
      </w:r>
      <w:r w:rsidRPr="00763F51">
        <w:rPr>
          <w:rFonts w:eastAsiaTheme="minorEastAsia"/>
        </w:rPr>
        <w:t xml:space="preserve">at horizontal line. Note that the conditional correlations with </w:t>
      </w:r>
      <w:proofErr w:type="spellStart"/>
      <w:r w:rsidRPr="00763F51">
        <w:rPr>
          <w:rFonts w:eastAsiaTheme="minorEastAsia"/>
        </w:rPr>
        <w:t>Bitstamp</w:t>
      </w:r>
      <w:proofErr w:type="spellEnd"/>
      <w:r w:rsidRPr="00763F51">
        <w:rPr>
          <w:rFonts w:eastAsiaTheme="minorEastAsia"/>
        </w:rPr>
        <w:t>/</w:t>
      </w:r>
      <w:proofErr w:type="spellStart"/>
      <w:r w:rsidRPr="00763F51">
        <w:rPr>
          <w:rFonts w:eastAsiaTheme="minorEastAsia"/>
        </w:rPr>
        <w:t>Bitfinex</w:t>
      </w:r>
      <w:proofErr w:type="spellEnd"/>
      <w:r w:rsidRPr="00763F51">
        <w:rPr>
          <w:rFonts w:eastAsiaTheme="minorEastAsia"/>
        </w:rPr>
        <w:t xml:space="preserve"> vary dramatically based on the </w:t>
      </w:r>
      <w:r w:rsidRPr="00763F51">
        <w:rPr>
          <w:rFonts w:eastAsiaTheme="minorEastAsia"/>
        </w:rPr>
        <w:lastRenderedPageBreak/>
        <w:t xml:space="preserve">exchange: for example, right after the 2015 </w:t>
      </w:r>
      <w:proofErr w:type="spellStart"/>
      <w:r w:rsidRPr="00763F51">
        <w:rPr>
          <w:rFonts w:eastAsiaTheme="minorEastAsia"/>
        </w:rPr>
        <w:t>Bitfinex</w:t>
      </w:r>
      <w:proofErr w:type="spellEnd"/>
      <w:r w:rsidRPr="00763F51">
        <w:rPr>
          <w:rFonts w:eastAsiaTheme="minorEastAsia"/>
        </w:rPr>
        <w:t xml:space="preserve"> breach the correlations of </w:t>
      </w:r>
      <w:proofErr w:type="spellStart"/>
      <w:r w:rsidRPr="00763F51">
        <w:rPr>
          <w:rFonts w:eastAsiaTheme="minorEastAsia"/>
        </w:rPr>
        <w:t>itBit</w:t>
      </w:r>
      <w:proofErr w:type="spellEnd"/>
      <w:r w:rsidRPr="00763F51">
        <w:rPr>
          <w:rFonts w:eastAsiaTheme="minorEastAsia"/>
        </w:rPr>
        <w:t xml:space="preserve"> remain stable around 0.7, while those of </w:t>
      </w:r>
      <w:proofErr w:type="spellStart"/>
      <w:r w:rsidRPr="00763F51">
        <w:rPr>
          <w:rFonts w:eastAsiaTheme="minorEastAsia"/>
        </w:rPr>
        <w:t>HitBTC</w:t>
      </w:r>
      <w:proofErr w:type="spellEnd"/>
      <w:r w:rsidRPr="00763F51">
        <w:rPr>
          <w:rFonts w:eastAsiaTheme="minorEastAsia"/>
        </w:rPr>
        <w:t xml:space="preserve"> plummet. It seems, then, that these small exchanges react very differently to movements in large exchanges. For instance, one possible reason for </w:t>
      </w:r>
      <w:proofErr w:type="spellStart"/>
      <w:r w:rsidRPr="00763F51">
        <w:rPr>
          <w:rFonts w:eastAsiaTheme="minorEastAsia"/>
        </w:rPr>
        <w:t>itBit's</w:t>
      </w:r>
      <w:proofErr w:type="spellEnd"/>
      <w:r w:rsidRPr="00763F51">
        <w:rPr>
          <w:rFonts w:eastAsiaTheme="minorEastAsia"/>
        </w:rPr>
        <w:t xml:space="preserve"> resilience to movements in the large exchanges is that </w:t>
      </w:r>
      <w:proofErr w:type="spellStart"/>
      <w:r w:rsidRPr="00763F51">
        <w:rPr>
          <w:rFonts w:eastAsiaTheme="minorEastAsia"/>
        </w:rPr>
        <w:t>itBit</w:t>
      </w:r>
      <w:proofErr w:type="spellEnd"/>
      <w:r w:rsidRPr="00763F51">
        <w:rPr>
          <w:rFonts w:eastAsiaTheme="minorEastAsia"/>
        </w:rPr>
        <w:t xml:space="preserve"> has offered incentives to lure traders away from other platforms, perhaps creating an insulated community (</w:t>
      </w:r>
      <w:proofErr w:type="spellStart"/>
      <w:r w:rsidRPr="00763F51">
        <w:rPr>
          <w:rFonts w:eastAsiaTheme="minorEastAsia"/>
        </w:rPr>
        <w:t>Cawrey</w:t>
      </w:r>
      <w:proofErr w:type="spellEnd"/>
      <w:r w:rsidRPr="00763F51">
        <w:rPr>
          <w:rFonts w:eastAsiaTheme="minorEastAsia"/>
        </w:rPr>
        <w:t xml:space="preserve"> 2014). </w:t>
      </w:r>
    </w:p>
    <w:p w:rsidR="00607ED6" w:rsidRDefault="00763F51" w:rsidP="00763F51">
      <w:pPr>
        <w:spacing w:line="480" w:lineRule="auto"/>
        <w:ind w:firstLine="720"/>
        <w:rPr>
          <w:rFonts w:eastAsiaTheme="minorEastAsia"/>
        </w:rPr>
      </w:pPr>
      <w:r w:rsidRPr="00763F51">
        <w:rPr>
          <w:rFonts w:eastAsiaTheme="minorEastAsia"/>
        </w:rPr>
        <w:t>The Extended DCC-GARCH model explicitly estimates the spillover effects of foreign returns and volatilities in the non-diagonal elements of its ARCH and GARCH matrices. Table 9 (Appendix) shows the ARCH parameter matrix calculated by EDCC-GARCH. We see that, in general, the lagged returns have little if any effect on their corr</w:t>
      </w:r>
      <w:r w:rsidR="0097547B">
        <w:rPr>
          <w:rFonts w:eastAsiaTheme="minorEastAsia"/>
        </w:rPr>
        <w:t>esponding conditional variances</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ii,t</m:t>
            </m:r>
          </m:sub>
        </m:sSub>
      </m:oMath>
      <w:r w:rsidR="0097547B">
        <w:rPr>
          <w:rFonts w:eastAsiaTheme="minorEastAsia"/>
        </w:rPr>
        <w:t xml:space="preserve">. </w:t>
      </w:r>
      <w:r w:rsidRPr="00763F51">
        <w:rPr>
          <w:rFonts w:eastAsiaTheme="minorEastAsia"/>
        </w:rPr>
        <w:t xml:space="preserve">However, returns for the large </w:t>
      </w:r>
      <w:proofErr w:type="spellStart"/>
      <w:r w:rsidRPr="00763F51">
        <w:rPr>
          <w:rFonts w:eastAsiaTheme="minorEastAsia"/>
        </w:rPr>
        <w:t>Bitfinex</w:t>
      </w:r>
      <w:proofErr w:type="spellEnd"/>
      <w:r w:rsidRPr="00763F51">
        <w:rPr>
          <w:rFonts w:eastAsiaTheme="minorEastAsia"/>
        </w:rPr>
        <w:t xml:space="preserve"> and </w:t>
      </w:r>
      <w:proofErr w:type="spellStart"/>
      <w:r w:rsidRPr="00763F51">
        <w:rPr>
          <w:rFonts w:eastAsiaTheme="minorEastAsia"/>
        </w:rPr>
        <w:t>Bitstamp</w:t>
      </w:r>
      <w:proofErr w:type="spellEnd"/>
      <w:r w:rsidRPr="00763F51">
        <w:rPr>
          <w:rFonts w:eastAsiaTheme="minorEastAsia"/>
        </w:rPr>
        <w:t xml:space="preserve"> exchanges do have a weak impact on the volatility of the other exchanges. The lagged returns for </w:t>
      </w:r>
      <w:proofErr w:type="spellStart"/>
      <w:r w:rsidRPr="00763F51">
        <w:rPr>
          <w:rFonts w:eastAsiaTheme="minorEastAsia"/>
        </w:rPr>
        <w:t>Bitfinex</w:t>
      </w:r>
      <w:proofErr w:type="spellEnd"/>
      <w:r w:rsidRPr="00763F51">
        <w:rPr>
          <w:rFonts w:eastAsiaTheme="minorEastAsia"/>
        </w:rPr>
        <w:t xml:space="preserve"> have a relatively powerful effect on the volatility of </w:t>
      </w:r>
      <w:proofErr w:type="spellStart"/>
      <w:r w:rsidRPr="00763F51">
        <w:rPr>
          <w:rFonts w:eastAsiaTheme="minorEastAsia"/>
        </w:rPr>
        <w:t>itBit</w:t>
      </w:r>
      <w:proofErr w:type="spellEnd"/>
      <w:r w:rsidRPr="00763F51">
        <w:rPr>
          <w:rFonts w:eastAsiaTheme="minorEastAsia"/>
        </w:rPr>
        <w:t xml:space="preserve">, </w:t>
      </w:r>
      <w:proofErr w:type="gramStart"/>
      <w:r w:rsidRPr="00763F51">
        <w:rPr>
          <w:rFonts w:eastAsiaTheme="minorEastAsia"/>
        </w:rPr>
        <w:t>whose</w:t>
      </w:r>
      <w:proofErr w:type="gramEnd"/>
      <w:r w:rsidRPr="00763F51">
        <w:rPr>
          <w:rFonts w:eastAsiaTheme="minorEastAsia"/>
        </w:rPr>
        <w:t xml:space="preserve"> lagged returns impact the other exchanges: perhaps </w:t>
      </w:r>
      <w:proofErr w:type="spellStart"/>
      <w:r w:rsidRPr="00763F51">
        <w:rPr>
          <w:rFonts w:eastAsiaTheme="minorEastAsia"/>
        </w:rPr>
        <w:t>Bitfinex</w:t>
      </w:r>
      <w:proofErr w:type="spellEnd"/>
      <w:r w:rsidRPr="00763F51">
        <w:rPr>
          <w:rFonts w:eastAsiaTheme="minorEastAsia"/>
        </w:rPr>
        <w:t xml:space="preserve"> affects these primarily through </w:t>
      </w:r>
      <w:proofErr w:type="spellStart"/>
      <w:r w:rsidRPr="00763F51">
        <w:rPr>
          <w:rFonts w:eastAsiaTheme="minorEastAsia"/>
        </w:rPr>
        <w:t>itBit</w:t>
      </w:r>
      <w:proofErr w:type="spellEnd"/>
      <w:r w:rsidRPr="00763F51">
        <w:rPr>
          <w:rFonts w:eastAsiaTheme="minorEastAsia"/>
        </w:rPr>
        <w:t xml:space="preserve">. In general, domestic volatilities are impacted more by foreign spillovers in volatility than spillovers in returns. The GARCH parameter matrix in Table 10 (Appendix), which </w:t>
      </w:r>
      <w:r w:rsidR="0097547B">
        <w:rPr>
          <w:rFonts w:eastAsiaTheme="minorEastAsia"/>
        </w:rPr>
        <w:t>estimates the spillover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ij,t</m:t>
            </m:r>
          </m:sub>
        </m:sSub>
        <m:r>
          <w:rPr>
            <w:rFonts w:ascii="Cambria Math" w:eastAsiaTheme="minorEastAsia" w:hAnsi="Cambria Math"/>
          </w:rPr>
          <m:t xml:space="preserve">  :  i≠j</m:t>
        </m:r>
      </m:oMath>
      <w:r w:rsidR="0097547B">
        <w:rPr>
          <w:rFonts w:eastAsiaTheme="minorEastAsia"/>
        </w:rPr>
        <w:t xml:space="preserve"> </w:t>
      </w:r>
      <w:r w:rsidRPr="00763F51">
        <w:rPr>
          <w:rFonts w:eastAsiaTheme="minorEastAsia"/>
        </w:rPr>
        <w:t xml:space="preserve">of foreign volatilities on domestic ones, has generally higher values than the previous ARCH matrix. The smallest exchange 1coin neither impacts nor is impacted by the other exchanges (except for </w:t>
      </w:r>
      <w:proofErr w:type="spellStart"/>
      <w:r w:rsidRPr="00763F51">
        <w:rPr>
          <w:rFonts w:eastAsiaTheme="minorEastAsia"/>
        </w:rPr>
        <w:t>itBit</w:t>
      </w:r>
      <w:proofErr w:type="spellEnd"/>
      <w:r w:rsidRPr="00763F51">
        <w:rPr>
          <w:rFonts w:eastAsiaTheme="minorEastAsia"/>
        </w:rPr>
        <w:t xml:space="preserve">). Volatility in the large exchanges </w:t>
      </w:r>
      <w:proofErr w:type="spellStart"/>
      <w:r w:rsidRPr="00763F51">
        <w:rPr>
          <w:rFonts w:eastAsiaTheme="minorEastAsia"/>
        </w:rPr>
        <w:t>Bitfinex</w:t>
      </w:r>
      <w:proofErr w:type="spellEnd"/>
      <w:r w:rsidRPr="00763F51">
        <w:rPr>
          <w:rFonts w:eastAsiaTheme="minorEastAsia"/>
        </w:rPr>
        <w:t xml:space="preserve">, </w:t>
      </w:r>
      <w:proofErr w:type="spellStart"/>
      <w:r w:rsidRPr="00763F51">
        <w:rPr>
          <w:rFonts w:eastAsiaTheme="minorEastAsia"/>
        </w:rPr>
        <w:t>LakeBTC</w:t>
      </w:r>
      <w:proofErr w:type="spellEnd"/>
      <w:r w:rsidRPr="00763F51">
        <w:rPr>
          <w:rFonts w:eastAsiaTheme="minorEastAsia"/>
        </w:rPr>
        <w:t xml:space="preserve">, and ANXHK spills over strongly into other exchanges, as evidenced by the high coefficients for their lagged conditional volatilities. </w:t>
      </w:r>
      <w:proofErr w:type="spellStart"/>
      <w:r w:rsidRPr="00763F51">
        <w:rPr>
          <w:rFonts w:eastAsiaTheme="minorEastAsia"/>
        </w:rPr>
        <w:t>BitStamp</w:t>
      </w:r>
      <w:proofErr w:type="spellEnd"/>
      <w:r w:rsidRPr="00763F51">
        <w:rPr>
          <w:rFonts w:eastAsiaTheme="minorEastAsia"/>
        </w:rPr>
        <w:t xml:space="preserve"> and the smaller </w:t>
      </w:r>
      <w:proofErr w:type="spellStart"/>
      <w:r w:rsidRPr="00763F51">
        <w:rPr>
          <w:rFonts w:eastAsiaTheme="minorEastAsia"/>
        </w:rPr>
        <w:t>HitBTC</w:t>
      </w:r>
      <w:proofErr w:type="spellEnd"/>
      <w:r w:rsidRPr="00763F51">
        <w:rPr>
          <w:rFonts w:eastAsiaTheme="minorEastAsia"/>
        </w:rPr>
        <w:t xml:space="preserve"> demonstrate weaker spillovers, while </w:t>
      </w:r>
      <w:proofErr w:type="spellStart"/>
      <w:r w:rsidRPr="00763F51">
        <w:rPr>
          <w:rFonts w:eastAsiaTheme="minorEastAsia"/>
        </w:rPr>
        <w:t>itBit</w:t>
      </w:r>
      <w:proofErr w:type="spellEnd"/>
      <w:r w:rsidRPr="00763F51">
        <w:rPr>
          <w:rFonts w:eastAsiaTheme="minorEastAsia"/>
        </w:rPr>
        <w:t xml:space="preserve"> and Kraken exert almost unnoticeable effects. Surprisingly, ANXBTC generally demonstrates stronger spillover effects than any of its larger peers. In particular, large GARCH coefficients appear in both directions between </w:t>
      </w:r>
      <w:proofErr w:type="spellStart"/>
      <w:r w:rsidRPr="00763F51">
        <w:rPr>
          <w:rFonts w:eastAsiaTheme="minorEastAsia"/>
        </w:rPr>
        <w:t>BitFinex</w:t>
      </w:r>
      <w:proofErr w:type="spellEnd"/>
      <w:r w:rsidRPr="00763F51">
        <w:rPr>
          <w:rFonts w:eastAsiaTheme="minorEastAsia"/>
        </w:rPr>
        <w:t xml:space="preserve"> and ANXBTC, suggesting a positive feedback loop </w:t>
      </w:r>
      <w:r w:rsidRPr="00763F51">
        <w:rPr>
          <w:rFonts w:eastAsiaTheme="minorEastAsia"/>
        </w:rPr>
        <w:lastRenderedPageBreak/>
        <w:t xml:space="preserve">in volatility between those two exchanges. Finally, we see generally large coefficients on the main diagonal for the larger exchanges, affirming that volatilities in Bitcoin exchanges tend to be highly persistent. </w:t>
      </w:r>
    </w:p>
    <w:p w:rsidR="00B20FCA" w:rsidRDefault="00763F51" w:rsidP="00763F51">
      <w:pPr>
        <w:spacing w:line="480" w:lineRule="auto"/>
        <w:ind w:firstLine="720"/>
        <w:rPr>
          <w:rFonts w:eastAsiaTheme="minorEastAsia"/>
        </w:rPr>
      </w:pPr>
      <w:r w:rsidRPr="00763F51">
        <w:rPr>
          <w:rFonts w:eastAsiaTheme="minorEastAsia"/>
        </w:rPr>
        <w:t>Through CCC-GARCH, DCC-GARCH, and EDCC-GARCH analysis, we may thus conclude that volatility usually updates near-instantaneously across large exchanges (efficient markets hypothesis), and that in these large exchanges, volatility lasts for long periods of time (GARCH persistence) due to positive feedback loops in volatility spillovers. While the magnitude of volatility spillovers is</w:t>
      </w:r>
      <w:r w:rsidR="00607ED6">
        <w:rPr>
          <w:rFonts w:eastAsiaTheme="minorEastAsia"/>
        </w:rPr>
        <w:t xml:space="preserve"> </w:t>
      </w:r>
      <w:r w:rsidR="00607ED6" w:rsidRPr="00607ED6">
        <w:rPr>
          <w:rFonts w:eastAsiaTheme="minorEastAsia"/>
        </w:rPr>
        <w:t>not especially large, the large exchanges clearly leak volatility into one another and, to a lesser extent, into smaller exchanges. Small exchanges do not exhibit such positive amplification loops, as suggested by the CCC-GARCH and EDCC-GARCH results. A Wald Test on the DCC-GARCH adjustment parameters gives highly significant evidence for time-varying correlations in volatility, which appears in the visual results of DCC-GARCH. Correlations in volatility may also be impacted by shocks, but the results may vary across smaller institutions. Finally, our preliminary analysis also shows that mean-corrected returns for the larger exchanges significan</w:t>
      </w:r>
      <w:r w:rsidR="00E977A3">
        <w:rPr>
          <w:rFonts w:eastAsiaTheme="minorEastAsia"/>
        </w:rPr>
        <w:t>tly impact those of smaller ones.</w:t>
      </w:r>
    </w:p>
    <w:p w:rsidR="00B8028F" w:rsidRDefault="00B8028F" w:rsidP="00763F51">
      <w:pPr>
        <w:spacing w:line="480" w:lineRule="auto"/>
        <w:ind w:firstLine="720"/>
        <w:rPr>
          <w:rFonts w:eastAsiaTheme="minorEastAsia"/>
        </w:rPr>
      </w:pPr>
    </w:p>
    <w:p w:rsidR="00B8028F" w:rsidRDefault="00B8028F" w:rsidP="00B8028F">
      <w:pPr>
        <w:spacing w:line="480" w:lineRule="auto"/>
        <w:rPr>
          <w:rFonts w:eastAsiaTheme="minorEastAsia"/>
        </w:rPr>
      </w:pPr>
      <w:r>
        <w:rPr>
          <w:rFonts w:eastAsiaTheme="minorEastAsia"/>
          <w:b/>
        </w:rPr>
        <w:t>6. Concluding Remarks</w:t>
      </w:r>
    </w:p>
    <w:p w:rsidR="0029786B" w:rsidRDefault="0029786B" w:rsidP="00B8028F">
      <w:pPr>
        <w:spacing w:line="480" w:lineRule="auto"/>
        <w:rPr>
          <w:rFonts w:eastAsiaTheme="minorEastAsia"/>
        </w:rPr>
      </w:pPr>
      <w:r w:rsidRPr="0029786B">
        <w:rPr>
          <w:rFonts w:eastAsiaTheme="minorEastAsia"/>
        </w:rPr>
        <w:t xml:space="preserve">The decentralization and convenience of Bitcoin has allowed it to grow rapidly among black market merchants, political dissidents, and the tech elite. Yet despite fast growth in recent years, the virtual currency still suffers from high price volatility, and must arguably stabilize further before serving as a reliable store of value. To our current knowledge, this paper is the first to study price volatility dynamics across Bitcoin exchanges. </w:t>
      </w:r>
      <w:bookmarkStart w:id="0" w:name="_GoBack"/>
      <w:bookmarkEnd w:id="0"/>
    </w:p>
    <w:p w:rsidR="00B8028F" w:rsidRPr="00B8028F" w:rsidRDefault="0029786B" w:rsidP="0029786B">
      <w:pPr>
        <w:spacing w:line="480" w:lineRule="auto"/>
        <w:ind w:firstLine="720"/>
        <w:rPr>
          <w:rFonts w:eastAsiaTheme="minorEastAsia"/>
        </w:rPr>
      </w:pPr>
      <w:r w:rsidRPr="0029786B">
        <w:rPr>
          <w:rFonts w:eastAsiaTheme="minorEastAsia"/>
        </w:rPr>
        <w:lastRenderedPageBreak/>
        <w:t xml:space="preserve">In this paper, we have statistically demonstrated the existence of price volatility spillovers in the Bitcoin ecosystem. While these leakages might promise lucrative arbitrage opportunities, more work is required for reliable volatility forecasting. Future work may wish to explore more advanced methods for aligning irregular time series, as well as other MGARCH variants that can employ exogenous Bitcoin-specific variables such as mining activity. Decentralization, </w:t>
      </w:r>
      <w:proofErr w:type="spellStart"/>
      <w:r w:rsidRPr="0029786B">
        <w:rPr>
          <w:rFonts w:eastAsiaTheme="minorEastAsia"/>
        </w:rPr>
        <w:t>blockchain</w:t>
      </w:r>
      <w:proofErr w:type="spellEnd"/>
      <w:r w:rsidRPr="0029786B">
        <w:rPr>
          <w:rFonts w:eastAsiaTheme="minorEastAsia"/>
        </w:rPr>
        <w:t xml:space="preserve"> authentication, and other quirks of the currency present theoretical and computational challenges for econometricians, and may thus require novel methods of inference.</w:t>
      </w:r>
    </w:p>
    <w:sectPr w:rsidR="00B8028F" w:rsidRPr="00B8028F" w:rsidSect="005327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286" w:rsidRDefault="00617286" w:rsidP="004D7AC3">
      <w:r>
        <w:separator/>
      </w:r>
    </w:p>
  </w:endnote>
  <w:endnote w:type="continuationSeparator" w:id="0">
    <w:p w:rsidR="00617286" w:rsidRDefault="00617286" w:rsidP="004D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215120"/>
      <w:docPartObj>
        <w:docPartGallery w:val="Page Numbers (Bottom of Page)"/>
        <w:docPartUnique/>
      </w:docPartObj>
    </w:sdtPr>
    <w:sdtEndPr>
      <w:rPr>
        <w:noProof/>
      </w:rPr>
    </w:sdtEndPr>
    <w:sdtContent>
      <w:p w:rsidR="008B2440" w:rsidRDefault="008B2440">
        <w:pPr>
          <w:pStyle w:val="Footer"/>
          <w:jc w:val="center"/>
        </w:pPr>
        <w:r>
          <w:fldChar w:fldCharType="begin"/>
        </w:r>
        <w:r>
          <w:instrText xml:space="preserve"> PAGE   \* MERGEFORMAT </w:instrText>
        </w:r>
        <w:r>
          <w:fldChar w:fldCharType="separate"/>
        </w:r>
        <w:r w:rsidR="0029786B">
          <w:rPr>
            <w:noProof/>
          </w:rPr>
          <w:t>16</w:t>
        </w:r>
        <w:r>
          <w:rPr>
            <w:noProof/>
          </w:rPr>
          <w:fldChar w:fldCharType="end"/>
        </w:r>
      </w:p>
    </w:sdtContent>
  </w:sdt>
  <w:p w:rsidR="008B2440" w:rsidRDefault="008B2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286" w:rsidRDefault="00617286" w:rsidP="004D7AC3">
      <w:r>
        <w:separator/>
      </w:r>
    </w:p>
  </w:footnote>
  <w:footnote w:type="continuationSeparator" w:id="0">
    <w:p w:rsidR="00617286" w:rsidRDefault="00617286" w:rsidP="004D7AC3">
      <w:r>
        <w:continuationSeparator/>
      </w:r>
    </w:p>
  </w:footnote>
  <w:footnote w:id="1">
    <w:p w:rsidR="004D7AC3" w:rsidRDefault="004D7AC3">
      <w:pPr>
        <w:pStyle w:val="FootnoteText"/>
      </w:pPr>
      <w:r>
        <w:rPr>
          <w:rStyle w:val="FootnoteReference"/>
        </w:rPr>
        <w:footnoteRef/>
      </w:r>
      <w:r>
        <w:t xml:space="preserve"> </w:t>
      </w:r>
      <w:r w:rsidRPr="004D7AC3">
        <w:rPr>
          <w:b/>
        </w:rPr>
        <w:t>Bold</w:t>
      </w:r>
      <w:r>
        <w:t xml:space="preserve"> </w:t>
      </w:r>
      <w:r w:rsidRPr="004D7AC3">
        <w:rPr>
          <w:b/>
        </w:rPr>
        <w:t>text</w:t>
      </w:r>
      <w:r>
        <w:t xml:space="preserve"> indicates vectors or matrices.</w:t>
      </w:r>
    </w:p>
  </w:footnote>
  <w:footnote w:id="2">
    <w:p w:rsidR="00363FF1" w:rsidRDefault="00363FF1">
      <w:pPr>
        <w:pStyle w:val="FootnoteText"/>
      </w:pPr>
      <w:r>
        <w:rPr>
          <w:rStyle w:val="FootnoteReference"/>
        </w:rPr>
        <w:footnoteRef/>
      </w:r>
      <w:r>
        <w:t xml:space="preserve"> The symbol </w:t>
      </w:r>
      <m:oMath>
        <m:r>
          <w:rPr>
            <w:rFonts w:ascii="Cambria Math" w:hAnsi="Cambria Math"/>
          </w:rPr>
          <m:t>°</m:t>
        </m:r>
      </m:oMath>
      <w:r>
        <w:rPr>
          <w:rFonts w:eastAsiaTheme="minorEastAsia"/>
        </w:rPr>
        <w:t xml:space="preserve"> denotes the </w:t>
      </w:r>
      <w:proofErr w:type="spellStart"/>
      <w:r>
        <w:rPr>
          <w:rFonts w:eastAsiaTheme="minorEastAsia"/>
        </w:rPr>
        <w:t>Hadamard</w:t>
      </w:r>
      <w:proofErr w:type="spellEnd"/>
      <w:r>
        <w:rPr>
          <w:rFonts w:eastAsiaTheme="minorEastAsia"/>
        </w:rPr>
        <w:t xml:space="preserve"> product, or the element-wise product of two matrices.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91"/>
    <w:rsid w:val="00040F4D"/>
    <w:rsid w:val="000A2D53"/>
    <w:rsid w:val="000B380D"/>
    <w:rsid w:val="000B3CCF"/>
    <w:rsid w:val="000D56F1"/>
    <w:rsid w:val="000E4182"/>
    <w:rsid w:val="000E62C9"/>
    <w:rsid w:val="001039B6"/>
    <w:rsid w:val="00104DB4"/>
    <w:rsid w:val="0012010E"/>
    <w:rsid w:val="00127FDD"/>
    <w:rsid w:val="00136782"/>
    <w:rsid w:val="00150787"/>
    <w:rsid w:val="001542C8"/>
    <w:rsid w:val="00197E57"/>
    <w:rsid w:val="001B1FED"/>
    <w:rsid w:val="001D0441"/>
    <w:rsid w:val="001F1524"/>
    <w:rsid w:val="00201660"/>
    <w:rsid w:val="00255351"/>
    <w:rsid w:val="00290A27"/>
    <w:rsid w:val="00296645"/>
    <w:rsid w:val="0029786B"/>
    <w:rsid w:val="002A5D0E"/>
    <w:rsid w:val="002C2030"/>
    <w:rsid w:val="002D0514"/>
    <w:rsid w:val="002D663C"/>
    <w:rsid w:val="002F2102"/>
    <w:rsid w:val="00311122"/>
    <w:rsid w:val="0032607F"/>
    <w:rsid w:val="00337F0B"/>
    <w:rsid w:val="00341FA7"/>
    <w:rsid w:val="003612A3"/>
    <w:rsid w:val="00363FF1"/>
    <w:rsid w:val="003D1B81"/>
    <w:rsid w:val="0040703A"/>
    <w:rsid w:val="00445FD8"/>
    <w:rsid w:val="00481F7A"/>
    <w:rsid w:val="004971B4"/>
    <w:rsid w:val="004C7DEA"/>
    <w:rsid w:val="004D1D8D"/>
    <w:rsid w:val="004D7AC3"/>
    <w:rsid w:val="004F62CF"/>
    <w:rsid w:val="005070F8"/>
    <w:rsid w:val="00525B35"/>
    <w:rsid w:val="005302D5"/>
    <w:rsid w:val="005327F0"/>
    <w:rsid w:val="0056260E"/>
    <w:rsid w:val="005C08BC"/>
    <w:rsid w:val="005C7DCE"/>
    <w:rsid w:val="005D4175"/>
    <w:rsid w:val="00607ED6"/>
    <w:rsid w:val="00611954"/>
    <w:rsid w:val="006163B2"/>
    <w:rsid w:val="00617286"/>
    <w:rsid w:val="00630037"/>
    <w:rsid w:val="00634D7A"/>
    <w:rsid w:val="006410E0"/>
    <w:rsid w:val="006622FF"/>
    <w:rsid w:val="006B593A"/>
    <w:rsid w:val="006D158B"/>
    <w:rsid w:val="006D369D"/>
    <w:rsid w:val="006E002B"/>
    <w:rsid w:val="006F3B1E"/>
    <w:rsid w:val="00712C10"/>
    <w:rsid w:val="00756CDE"/>
    <w:rsid w:val="00763F51"/>
    <w:rsid w:val="00780D6E"/>
    <w:rsid w:val="007B5C80"/>
    <w:rsid w:val="007D02B3"/>
    <w:rsid w:val="007D1FEB"/>
    <w:rsid w:val="007E476A"/>
    <w:rsid w:val="007E5337"/>
    <w:rsid w:val="007F790A"/>
    <w:rsid w:val="00872D95"/>
    <w:rsid w:val="00880667"/>
    <w:rsid w:val="00887569"/>
    <w:rsid w:val="00893300"/>
    <w:rsid w:val="008A3B08"/>
    <w:rsid w:val="008B2440"/>
    <w:rsid w:val="008E4357"/>
    <w:rsid w:val="008E6BC8"/>
    <w:rsid w:val="00902AC9"/>
    <w:rsid w:val="00912A20"/>
    <w:rsid w:val="0092442B"/>
    <w:rsid w:val="009273E5"/>
    <w:rsid w:val="00943355"/>
    <w:rsid w:val="00973DB7"/>
    <w:rsid w:val="0097547B"/>
    <w:rsid w:val="009900E7"/>
    <w:rsid w:val="009A616B"/>
    <w:rsid w:val="009C643D"/>
    <w:rsid w:val="00A22D73"/>
    <w:rsid w:val="00A248B5"/>
    <w:rsid w:val="00A33FDE"/>
    <w:rsid w:val="00A524F5"/>
    <w:rsid w:val="00A52EE7"/>
    <w:rsid w:val="00A665CF"/>
    <w:rsid w:val="00A9103D"/>
    <w:rsid w:val="00A93AB2"/>
    <w:rsid w:val="00AC5056"/>
    <w:rsid w:val="00AF61FC"/>
    <w:rsid w:val="00B04E6F"/>
    <w:rsid w:val="00B20FCA"/>
    <w:rsid w:val="00B74F5D"/>
    <w:rsid w:val="00B76925"/>
    <w:rsid w:val="00B8028F"/>
    <w:rsid w:val="00B85EEC"/>
    <w:rsid w:val="00B91791"/>
    <w:rsid w:val="00BF1275"/>
    <w:rsid w:val="00BF28F0"/>
    <w:rsid w:val="00BF4281"/>
    <w:rsid w:val="00C23E40"/>
    <w:rsid w:val="00C26E7A"/>
    <w:rsid w:val="00C30400"/>
    <w:rsid w:val="00C54178"/>
    <w:rsid w:val="00CC4CFF"/>
    <w:rsid w:val="00CD2C3E"/>
    <w:rsid w:val="00CE219B"/>
    <w:rsid w:val="00D25114"/>
    <w:rsid w:val="00D25643"/>
    <w:rsid w:val="00D61299"/>
    <w:rsid w:val="00D813DC"/>
    <w:rsid w:val="00D924C5"/>
    <w:rsid w:val="00E02D45"/>
    <w:rsid w:val="00E15E66"/>
    <w:rsid w:val="00E2310C"/>
    <w:rsid w:val="00E60366"/>
    <w:rsid w:val="00E7210F"/>
    <w:rsid w:val="00E723AD"/>
    <w:rsid w:val="00E80584"/>
    <w:rsid w:val="00E831EC"/>
    <w:rsid w:val="00E87AA3"/>
    <w:rsid w:val="00E977A3"/>
    <w:rsid w:val="00ED5341"/>
    <w:rsid w:val="00EE41A3"/>
    <w:rsid w:val="00F23BF7"/>
    <w:rsid w:val="00F9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D95"/>
    <w:rPr>
      <w:color w:val="808080"/>
    </w:rPr>
  </w:style>
  <w:style w:type="paragraph" w:styleId="BalloonText">
    <w:name w:val="Balloon Text"/>
    <w:basedOn w:val="Normal"/>
    <w:link w:val="BalloonTextChar"/>
    <w:uiPriority w:val="99"/>
    <w:semiHidden/>
    <w:unhideWhenUsed/>
    <w:rsid w:val="00872D95"/>
    <w:rPr>
      <w:rFonts w:ascii="Tahoma" w:hAnsi="Tahoma" w:cs="Tahoma"/>
      <w:sz w:val="16"/>
      <w:szCs w:val="16"/>
    </w:rPr>
  </w:style>
  <w:style w:type="character" w:customStyle="1" w:styleId="BalloonTextChar">
    <w:name w:val="Balloon Text Char"/>
    <w:basedOn w:val="DefaultParagraphFont"/>
    <w:link w:val="BalloonText"/>
    <w:uiPriority w:val="99"/>
    <w:semiHidden/>
    <w:rsid w:val="00872D95"/>
    <w:rPr>
      <w:rFonts w:ascii="Tahoma" w:hAnsi="Tahoma" w:cs="Tahoma"/>
      <w:sz w:val="16"/>
      <w:szCs w:val="16"/>
    </w:rPr>
  </w:style>
  <w:style w:type="paragraph" w:styleId="FootnoteText">
    <w:name w:val="footnote text"/>
    <w:basedOn w:val="Normal"/>
    <w:link w:val="FootnoteTextChar"/>
    <w:uiPriority w:val="99"/>
    <w:semiHidden/>
    <w:unhideWhenUsed/>
    <w:rsid w:val="004D7AC3"/>
    <w:rPr>
      <w:sz w:val="20"/>
      <w:szCs w:val="20"/>
    </w:rPr>
  </w:style>
  <w:style w:type="character" w:customStyle="1" w:styleId="FootnoteTextChar">
    <w:name w:val="Footnote Text Char"/>
    <w:basedOn w:val="DefaultParagraphFont"/>
    <w:link w:val="FootnoteText"/>
    <w:uiPriority w:val="99"/>
    <w:semiHidden/>
    <w:rsid w:val="004D7AC3"/>
    <w:rPr>
      <w:sz w:val="20"/>
      <w:szCs w:val="20"/>
    </w:rPr>
  </w:style>
  <w:style w:type="character" w:styleId="FootnoteReference">
    <w:name w:val="footnote reference"/>
    <w:basedOn w:val="DefaultParagraphFont"/>
    <w:uiPriority w:val="99"/>
    <w:semiHidden/>
    <w:unhideWhenUsed/>
    <w:rsid w:val="004D7AC3"/>
    <w:rPr>
      <w:vertAlign w:val="superscript"/>
    </w:rPr>
  </w:style>
  <w:style w:type="paragraph" w:styleId="Header">
    <w:name w:val="header"/>
    <w:basedOn w:val="Normal"/>
    <w:link w:val="HeaderChar"/>
    <w:uiPriority w:val="99"/>
    <w:unhideWhenUsed/>
    <w:rsid w:val="008B2440"/>
    <w:pPr>
      <w:tabs>
        <w:tab w:val="center" w:pos="4680"/>
        <w:tab w:val="right" w:pos="9360"/>
      </w:tabs>
    </w:pPr>
  </w:style>
  <w:style w:type="character" w:customStyle="1" w:styleId="HeaderChar">
    <w:name w:val="Header Char"/>
    <w:basedOn w:val="DefaultParagraphFont"/>
    <w:link w:val="Header"/>
    <w:uiPriority w:val="99"/>
    <w:rsid w:val="008B2440"/>
  </w:style>
  <w:style w:type="paragraph" w:styleId="Footer">
    <w:name w:val="footer"/>
    <w:basedOn w:val="Normal"/>
    <w:link w:val="FooterChar"/>
    <w:uiPriority w:val="99"/>
    <w:unhideWhenUsed/>
    <w:rsid w:val="008B2440"/>
    <w:pPr>
      <w:tabs>
        <w:tab w:val="center" w:pos="4680"/>
        <w:tab w:val="right" w:pos="9360"/>
      </w:tabs>
    </w:pPr>
  </w:style>
  <w:style w:type="character" w:customStyle="1" w:styleId="FooterChar">
    <w:name w:val="Footer Char"/>
    <w:basedOn w:val="DefaultParagraphFont"/>
    <w:link w:val="Footer"/>
    <w:uiPriority w:val="99"/>
    <w:rsid w:val="008B2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D95"/>
    <w:rPr>
      <w:color w:val="808080"/>
    </w:rPr>
  </w:style>
  <w:style w:type="paragraph" w:styleId="BalloonText">
    <w:name w:val="Balloon Text"/>
    <w:basedOn w:val="Normal"/>
    <w:link w:val="BalloonTextChar"/>
    <w:uiPriority w:val="99"/>
    <w:semiHidden/>
    <w:unhideWhenUsed/>
    <w:rsid w:val="00872D95"/>
    <w:rPr>
      <w:rFonts w:ascii="Tahoma" w:hAnsi="Tahoma" w:cs="Tahoma"/>
      <w:sz w:val="16"/>
      <w:szCs w:val="16"/>
    </w:rPr>
  </w:style>
  <w:style w:type="character" w:customStyle="1" w:styleId="BalloonTextChar">
    <w:name w:val="Balloon Text Char"/>
    <w:basedOn w:val="DefaultParagraphFont"/>
    <w:link w:val="BalloonText"/>
    <w:uiPriority w:val="99"/>
    <w:semiHidden/>
    <w:rsid w:val="00872D95"/>
    <w:rPr>
      <w:rFonts w:ascii="Tahoma" w:hAnsi="Tahoma" w:cs="Tahoma"/>
      <w:sz w:val="16"/>
      <w:szCs w:val="16"/>
    </w:rPr>
  </w:style>
  <w:style w:type="paragraph" w:styleId="FootnoteText">
    <w:name w:val="footnote text"/>
    <w:basedOn w:val="Normal"/>
    <w:link w:val="FootnoteTextChar"/>
    <w:uiPriority w:val="99"/>
    <w:semiHidden/>
    <w:unhideWhenUsed/>
    <w:rsid w:val="004D7AC3"/>
    <w:rPr>
      <w:sz w:val="20"/>
      <w:szCs w:val="20"/>
    </w:rPr>
  </w:style>
  <w:style w:type="character" w:customStyle="1" w:styleId="FootnoteTextChar">
    <w:name w:val="Footnote Text Char"/>
    <w:basedOn w:val="DefaultParagraphFont"/>
    <w:link w:val="FootnoteText"/>
    <w:uiPriority w:val="99"/>
    <w:semiHidden/>
    <w:rsid w:val="004D7AC3"/>
    <w:rPr>
      <w:sz w:val="20"/>
      <w:szCs w:val="20"/>
    </w:rPr>
  </w:style>
  <w:style w:type="character" w:styleId="FootnoteReference">
    <w:name w:val="footnote reference"/>
    <w:basedOn w:val="DefaultParagraphFont"/>
    <w:uiPriority w:val="99"/>
    <w:semiHidden/>
    <w:unhideWhenUsed/>
    <w:rsid w:val="004D7AC3"/>
    <w:rPr>
      <w:vertAlign w:val="superscript"/>
    </w:rPr>
  </w:style>
  <w:style w:type="paragraph" w:styleId="Header">
    <w:name w:val="header"/>
    <w:basedOn w:val="Normal"/>
    <w:link w:val="HeaderChar"/>
    <w:uiPriority w:val="99"/>
    <w:unhideWhenUsed/>
    <w:rsid w:val="008B2440"/>
    <w:pPr>
      <w:tabs>
        <w:tab w:val="center" w:pos="4680"/>
        <w:tab w:val="right" w:pos="9360"/>
      </w:tabs>
    </w:pPr>
  </w:style>
  <w:style w:type="character" w:customStyle="1" w:styleId="HeaderChar">
    <w:name w:val="Header Char"/>
    <w:basedOn w:val="DefaultParagraphFont"/>
    <w:link w:val="Header"/>
    <w:uiPriority w:val="99"/>
    <w:rsid w:val="008B2440"/>
  </w:style>
  <w:style w:type="paragraph" w:styleId="Footer">
    <w:name w:val="footer"/>
    <w:basedOn w:val="Normal"/>
    <w:link w:val="FooterChar"/>
    <w:uiPriority w:val="99"/>
    <w:unhideWhenUsed/>
    <w:rsid w:val="008B2440"/>
    <w:pPr>
      <w:tabs>
        <w:tab w:val="center" w:pos="4680"/>
        <w:tab w:val="right" w:pos="9360"/>
      </w:tabs>
    </w:pPr>
  </w:style>
  <w:style w:type="character" w:customStyle="1" w:styleId="FooterChar">
    <w:name w:val="Footer Char"/>
    <w:basedOn w:val="DefaultParagraphFont"/>
    <w:link w:val="Footer"/>
    <w:uiPriority w:val="99"/>
    <w:rsid w:val="008B2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96"/>
    <w:rsid w:val="0059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79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7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EA4DB1-1045-4ADB-BF20-BE171EE9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71</cp:revision>
  <dcterms:created xsi:type="dcterms:W3CDTF">2015-05-27T06:08:00Z</dcterms:created>
  <dcterms:modified xsi:type="dcterms:W3CDTF">2015-05-27T07:32:00Z</dcterms:modified>
</cp:coreProperties>
</file>