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00FB2">
      <w:pPr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6409AA">
      <w:pPr>
        <w:ind w:firstLine="0"/>
        <w:rPr>
          <w:b/>
        </w:rPr>
      </w:pPr>
    </w:p>
    <w:p w:rsidR="00C336F6" w:rsidRDefault="00C336F6" w:rsidP="006409AA">
      <w:pPr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00FB2">
      <w:pPr>
        <w:ind w:firstLine="0"/>
        <w:jc w:val="center"/>
      </w:pPr>
    </w:p>
    <w:p w:rsidR="00901161" w:rsidRDefault="00F00FB2" w:rsidP="00C72AA3">
      <w:pPr>
        <w:spacing w:line="36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 xml:space="preserve">d by </w:t>
      </w:r>
      <w:proofErr w:type="spellStart"/>
      <w:r w:rsidR="006F662B">
        <w:t>Tversky</w:t>
      </w:r>
      <w:proofErr w:type="spellEnd"/>
      <w:r w:rsidR="006F662B">
        <w:t xml:space="preserve"> &amp; </w:t>
      </w:r>
      <w:proofErr w:type="spellStart"/>
      <w:r w:rsidR="006F662B">
        <w:t>Kahneman</w:t>
      </w:r>
      <w:proofErr w:type="spellEnd"/>
      <w:r w:rsidR="006F662B">
        <w:t xml:space="preserve">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see </w:t>
      </w:r>
      <w:proofErr w:type="spellStart"/>
      <w:r w:rsidR="000D6F63">
        <w:t>Furnham</w:t>
      </w:r>
      <w:proofErr w:type="spellEnd"/>
      <w:r w:rsidR="000D6F63">
        <w:t xml:space="preserve">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Default="00444858" w:rsidP="001F165B">
      <w:pPr>
        <w:spacing w:line="360" w:lineRule="auto"/>
      </w:pPr>
      <w:r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 xml:space="preserve">. Much of the anchoring research in economics uses experiments, surveys, or multiple-choice tests to understand questions about how individuals form </w:t>
      </w:r>
      <w:r>
        <w:lastRenderedPageBreak/>
        <w:t>estimates and judgments in the presence of an anchor</w:t>
      </w:r>
      <w:r>
        <w:rPr>
          <w:rStyle w:val="FootnoteReference"/>
        </w:rPr>
        <w:footnoteReference w:id="9"/>
      </w:r>
      <w:proofErr w:type="gramStart"/>
      <w:r>
        <w:t xml:space="preserve"> </w:t>
      </w:r>
      <w:proofErr w:type="gramEnd"/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</w:t>
      </w:r>
      <w:proofErr w:type="spellStart"/>
      <w:r w:rsidR="00C33A5D">
        <w:t>Prelec</w:t>
      </w:r>
      <w:proofErr w:type="spellEnd"/>
      <w:r w:rsidR="00C33A5D">
        <w:t xml:space="preserve"> and </w:t>
      </w:r>
      <w:proofErr w:type="spellStart"/>
      <w:r w:rsidR="00C33A5D">
        <w:t>Ariely</w:t>
      </w:r>
      <w:proofErr w:type="spellEnd"/>
      <w:r w:rsidR="00C33A5D">
        <w:t xml:space="preserve">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proofErr w:type="spellStart"/>
      <w:r w:rsidR="00354C61">
        <w:t>Wolk</w:t>
      </w:r>
      <w:proofErr w:type="spellEnd"/>
      <w:r w:rsidR="00354C61">
        <w:t xml:space="preserve">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lastRenderedPageBreak/>
        <w:t xml:space="preserve">to </w:t>
      </w:r>
      <w:r w:rsidR="00BB3467">
        <w:t>external anchors (such as advertiser-suggested bids)</w:t>
      </w:r>
      <w:r w:rsidR="004F1616">
        <w:t xml:space="preserve"> </w:t>
      </w:r>
      <w:r w:rsidR="00BB3467">
        <w:t xml:space="preserve">moderately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1B171D" w:rsidRDefault="001B171D" w:rsidP="001B171D">
      <w:pPr>
        <w:spacing w:line="360" w:lineRule="auto"/>
        <w:ind w:firstLine="0"/>
      </w:pPr>
    </w:p>
    <w:p w:rsidR="001B171D" w:rsidRDefault="008E753E" w:rsidP="001B171D">
      <w:pPr>
        <w:spacing w:line="360" w:lineRule="auto"/>
        <w:ind w:firstLine="0"/>
        <w:rPr>
          <w:b/>
        </w:rPr>
      </w:pPr>
      <w:r>
        <w:rPr>
          <w:b/>
        </w:rPr>
        <w:t>ECONOMICS OF ART AUCTIONS</w:t>
      </w:r>
    </w:p>
    <w:p w:rsidR="00A22FD1" w:rsidRDefault="00A22FD1" w:rsidP="001B171D">
      <w:pPr>
        <w:spacing w:line="360" w:lineRule="auto"/>
        <w:ind w:firstLine="0"/>
      </w:pPr>
      <w:r>
        <w:t>&lt;</w:t>
      </w:r>
      <w:proofErr w:type="gramStart"/>
      <w:r>
        <w:t>focus</w:t>
      </w:r>
      <w:proofErr w:type="gramEnd"/>
      <w:r>
        <w:t xml:space="preserve"> on art auctions specifically&gt;</w:t>
      </w:r>
    </w:p>
    <w:p w:rsidR="00A22FD1" w:rsidRDefault="001E73CF" w:rsidP="001B171D">
      <w:pPr>
        <w:spacing w:line="360" w:lineRule="auto"/>
        <w:ind w:firstLine="0"/>
      </w:pPr>
      <w:r>
        <w:t>&lt;</w:t>
      </w:r>
      <w:proofErr w:type="gramStart"/>
      <w:r>
        <w:t>do</w:t>
      </w:r>
      <w:proofErr w:type="gramEnd"/>
      <w:r>
        <w:t xml:space="preserve"> if Stephen </w:t>
      </w:r>
      <w:proofErr w:type="spellStart"/>
      <w:r>
        <w:t>morris</w:t>
      </w:r>
      <w:proofErr w:type="spellEnd"/>
      <w:r>
        <w:t xml:space="preserve"> says he wants it&gt;</w:t>
      </w:r>
    </w:p>
    <w:p w:rsidR="001E73CF" w:rsidRDefault="00192CD3" w:rsidP="001B171D">
      <w:pPr>
        <w:spacing w:line="360" w:lineRule="auto"/>
        <w:ind w:firstLine="0"/>
      </w:pPr>
      <w:r>
        <w:t xml:space="preserve">&lt;actually probably good to </w:t>
      </w:r>
      <w:r w:rsidR="00CA7FD4">
        <w:t>do anyway</w:t>
      </w:r>
      <w:r w:rsidR="00BE1EC2">
        <w:t xml:space="preserve"> -&gt;</w:t>
      </w:r>
      <w:r w:rsidR="00D07203">
        <w:t xml:space="preserve"> lit review gets longer!</w:t>
      </w:r>
      <w:r w:rsidR="00CA7FD4">
        <w:t xml:space="preserve"> Just run by the structure by him&gt;</w:t>
      </w:r>
    </w:p>
    <w:p w:rsidR="00BE1EC2" w:rsidRPr="00A22FD1" w:rsidRDefault="00BE1EC2" w:rsidP="001B171D">
      <w:pPr>
        <w:spacing w:line="360" w:lineRule="auto"/>
        <w:ind w:firstLine="0"/>
      </w:pPr>
    </w:p>
    <w:p w:rsidR="00EA5D91" w:rsidRPr="001B171D" w:rsidRDefault="00A52056" w:rsidP="001B171D">
      <w:pPr>
        <w:spacing w:line="36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9F6A58">
      <w:pPr>
        <w:spacing w:line="36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A4605A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</w:t>
      </w:r>
      <w:proofErr w:type="spellStart"/>
      <w:r w:rsidR="00045EB2">
        <w:t>Orley</w:t>
      </w:r>
      <w:proofErr w:type="spellEnd"/>
      <w:r w:rsidR="00045EB2">
        <w:t xml:space="preserve"> </w:t>
      </w:r>
      <w:proofErr w:type="spellStart"/>
      <w:r w:rsidR="00045EB2">
        <w:t>Ashenfelter</w:t>
      </w:r>
      <w:proofErr w:type="spellEnd"/>
      <w:r w:rsidR="00045EB2">
        <w:t xml:space="preserve">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Kathryn </w:t>
      </w:r>
      <w:proofErr w:type="spellStart"/>
      <w:r w:rsidR="009D7C89">
        <w:t>Graddy</w:t>
      </w:r>
      <w:proofErr w:type="spellEnd"/>
      <w:r w:rsidR="009D7C89">
        <w:t xml:space="preserve">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lastRenderedPageBreak/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</w:t>
      </w:r>
      <w:proofErr w:type="spellStart"/>
      <w:r w:rsidR="00FE7D7A">
        <w:t>Beggs</w:t>
      </w:r>
      <w:proofErr w:type="spellEnd"/>
      <w:r w:rsidR="00FE7D7A">
        <w:t xml:space="preserve"> &amp; </w:t>
      </w:r>
      <w:proofErr w:type="spellStart"/>
      <w:r w:rsidR="00047242">
        <w:t>Graddy</w:t>
      </w:r>
      <w:proofErr w:type="spellEnd"/>
      <w:r w:rsidR="00047242">
        <w:t xml:space="preserve">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for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proofErr w:type="spellStart"/>
      <w:r w:rsidR="00287AEB">
        <w:t>Beggs</w:t>
      </w:r>
      <w:proofErr w:type="spellEnd"/>
      <w:r w:rsidR="00287AEB">
        <w:t xml:space="preserve"> &amp; </w:t>
      </w:r>
      <w:proofErr w:type="spellStart"/>
      <w:r w:rsidR="00287AEB">
        <w:t>Graddy</w:t>
      </w:r>
      <w:proofErr w:type="spellEnd"/>
      <w:r w:rsidR="00287AEB">
        <w:t xml:space="preserve">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A4605A">
      <w:pPr>
        <w:spacing w:line="36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</w:t>
      </w:r>
      <w:proofErr w:type="spellStart"/>
      <w:r w:rsidR="004D53B0">
        <w:t>probit</w:t>
      </w:r>
      <w:proofErr w:type="spellEnd"/>
      <w:r w:rsidR="004D53B0">
        <w:t xml:space="preserve">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</w:t>
      </w:r>
      <w:proofErr w:type="gramStart"/>
      <w:r w:rsidR="002B77F8">
        <w:t>et</w:t>
      </w:r>
      <w:proofErr w:type="gramEnd"/>
      <w:r w:rsidR="002B77F8">
        <w:t xml:space="preserve">. </w:t>
      </w:r>
      <w:proofErr w:type="gramStart"/>
      <w:r w:rsidR="002B77F8">
        <w:t>al</w:t>
      </w:r>
      <w:proofErr w:type="gramEnd"/>
      <w:r w:rsidR="002B77F8">
        <w:t xml:space="preserve">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</w:t>
      </w:r>
      <w:proofErr w:type="spellStart"/>
      <w:r w:rsidR="0021534E">
        <w:t>Beggs</w:t>
      </w:r>
      <w:proofErr w:type="spellEnd"/>
      <w:r w:rsidR="0021534E">
        <w:t xml:space="preserve"> &amp; </w:t>
      </w:r>
      <w:proofErr w:type="spellStart"/>
      <w:r w:rsidR="0021534E">
        <w:t>Graddy</w:t>
      </w:r>
      <w:proofErr w:type="spellEnd"/>
      <w:r w:rsidR="0021534E">
        <w:t xml:space="preserve">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343512">
      <w:pPr>
        <w:spacing w:line="360" w:lineRule="auto"/>
      </w:pPr>
      <w:proofErr w:type="spellStart"/>
      <w:r>
        <w:t>Graddy</w:t>
      </w:r>
      <w:proofErr w:type="spellEnd"/>
      <w:r>
        <w:t xml:space="preserve"> et al. (2014)</w:t>
      </w:r>
      <w:r w:rsidR="00930022">
        <w:t xml:space="preserve"> further </w:t>
      </w:r>
      <w:r>
        <w:t xml:space="preserve">extends the work in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</w:t>
      </w:r>
      <w:r w:rsidR="008232F4">
        <w:t xml:space="preserve">(2009) </w:t>
      </w:r>
      <w:r w:rsidR="008F2A3C">
        <w:t xml:space="preserve">and </w:t>
      </w:r>
      <w:proofErr w:type="spellStart"/>
      <w:r w:rsidR="008F2A3C">
        <w:t>Beggs</w:t>
      </w:r>
      <w:proofErr w:type="spellEnd"/>
      <w:r w:rsidR="008F2A3C">
        <w:t xml:space="preserve"> &amp; </w:t>
      </w:r>
      <w:proofErr w:type="spellStart"/>
      <w:r w:rsidR="008F2A3C">
        <w:t>Graddy</w:t>
      </w:r>
      <w:proofErr w:type="spellEnd"/>
      <w:r w:rsidR="008F2A3C">
        <w:t xml:space="preserve">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 xml:space="preserve">) with more </w:t>
      </w:r>
      <w:r>
        <w:lastRenderedPageBreak/>
        <w:t>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</w:t>
      </w:r>
      <w:proofErr w:type="spellStart"/>
      <w:r w:rsidR="00ED7906">
        <w:t>Beggs</w:t>
      </w:r>
      <w:proofErr w:type="spellEnd"/>
      <w:r w:rsidR="00ED7906">
        <w:t xml:space="preserve"> &amp; </w:t>
      </w:r>
      <w:proofErr w:type="spellStart"/>
      <w:r w:rsidR="00ED7906">
        <w:t>Graddy</w:t>
      </w:r>
      <w:proofErr w:type="spellEnd"/>
      <w:r w:rsidR="00ED7906">
        <w:t xml:space="preserve">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8C0360">
        <w:t xml:space="preserve"> they are </w:t>
      </w:r>
      <w:r w:rsidR="006F369A">
        <w:t xml:space="preserve">more </w:t>
      </w:r>
      <w:r w:rsidR="008C0360">
        <w:t xml:space="preserve">unclear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A4605A">
      <w:pPr>
        <w:spacing w:line="360" w:lineRule="auto"/>
      </w:pPr>
      <w:r>
        <w:t xml:space="preserve">Bruno and </w:t>
      </w:r>
      <w:proofErr w:type="spellStart"/>
      <w:r>
        <w:t>Nocera</w:t>
      </w:r>
      <w:proofErr w:type="spellEnd"/>
      <w:r>
        <w:t xml:space="preserve">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</w:t>
      </w:r>
      <w:proofErr w:type="spellStart"/>
      <w:r w:rsidR="00954F13">
        <w:t>Nocera</w:t>
      </w:r>
      <w:proofErr w:type="spellEnd"/>
      <w:r w:rsidR="00954F13">
        <w:t xml:space="preserve">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A4605A">
      <w:pPr>
        <w:spacing w:line="36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</w:t>
      </w:r>
      <w:r w:rsidR="00CA3F75">
        <w:lastRenderedPageBreak/>
        <w:t xml:space="preserve">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</w:t>
      </w:r>
      <w:proofErr w:type="spellStart"/>
      <w:r w:rsidR="000E1177">
        <w:t>Beggs</w:t>
      </w:r>
      <w:proofErr w:type="spellEnd"/>
      <w:r w:rsidR="000E1177">
        <w:t xml:space="preserve"> &amp; </w:t>
      </w:r>
      <w:proofErr w:type="spellStart"/>
      <w:r w:rsidR="000E1177">
        <w:t>Graddy</w:t>
      </w:r>
      <w:proofErr w:type="spellEnd"/>
      <w:r w:rsidR="000E1177">
        <w:t xml:space="preserve">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 xml:space="preserve">from </w:t>
      </w:r>
      <w:proofErr w:type="spellStart"/>
      <w:r w:rsidR="00C333FF">
        <w:t>Beggs</w:t>
      </w:r>
      <w:proofErr w:type="spellEnd"/>
      <w:r w:rsidR="00C333FF">
        <w:t xml:space="preserve"> &amp; </w:t>
      </w:r>
      <w:proofErr w:type="spellStart"/>
      <w:r w:rsidR="00C333FF">
        <w:t>Graddy</w:t>
      </w:r>
      <w:proofErr w:type="spellEnd"/>
      <w:r w:rsidR="00C333FF">
        <w:t xml:space="preserve"> (2009)</w:t>
      </w:r>
      <w:r w:rsidR="001E71FE">
        <w:t>.</w:t>
      </w:r>
    </w:p>
    <w:p w:rsidR="00815AFB" w:rsidRDefault="00E23F2F" w:rsidP="00815AFB">
      <w:pPr>
        <w:spacing w:line="36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proofErr w:type="spellStart"/>
      <w:r w:rsidR="00F96FF6">
        <w:t>Beggs</w:t>
      </w:r>
      <w:proofErr w:type="spellEnd"/>
      <w:r w:rsidR="00F96FF6">
        <w:t xml:space="preserve"> &amp; </w:t>
      </w:r>
      <w:proofErr w:type="spellStart"/>
      <w:r w:rsidR="00F96FF6">
        <w:t>Graddy</w:t>
      </w:r>
      <w:proofErr w:type="spellEnd"/>
      <w:r w:rsidR="00F96FF6">
        <w:t xml:space="preserve">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</w:t>
      </w:r>
      <w:proofErr w:type="spellStart"/>
      <w:r w:rsidR="00514485">
        <w:t>Beggs</w:t>
      </w:r>
      <w:proofErr w:type="spellEnd"/>
      <w:r w:rsidR="00514485">
        <w:t xml:space="preserve"> &amp; </w:t>
      </w:r>
      <w:proofErr w:type="spellStart"/>
      <w:r w:rsidR="00514485">
        <w:t>Graddy</w:t>
      </w:r>
      <w:proofErr w:type="spellEnd"/>
      <w:r w:rsidR="00514485">
        <w:t xml:space="preserve">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proofErr w:type="spellStart"/>
      <w:r w:rsidR="00B62CCC">
        <w:t>Penasse</w:t>
      </w:r>
      <w:proofErr w:type="spellEnd"/>
      <w:r w:rsidR="00B62CCC">
        <w:t xml:space="preserve">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</w:t>
      </w:r>
      <w:r w:rsidR="00623600">
        <w:lastRenderedPageBreak/>
        <w:t xml:space="preserve">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FA0A47" w:rsidRDefault="00A377AA" w:rsidP="00D2284F">
      <w:pPr>
        <w:spacing w:line="36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 xml:space="preserve">as </w:t>
      </w:r>
      <w:proofErr w:type="spellStart"/>
      <w:r w:rsidR="007C7799">
        <w:t>Beggs</w:t>
      </w:r>
      <w:proofErr w:type="spellEnd"/>
      <w:r w:rsidR="007C7799">
        <w:t xml:space="preserve"> &amp; </w:t>
      </w:r>
      <w:proofErr w:type="spellStart"/>
      <w:r w:rsidR="007C7799">
        <w:t>Graddy</w:t>
      </w:r>
      <w:proofErr w:type="spellEnd"/>
      <w:r w:rsidR="007C7799">
        <w:t xml:space="preserve">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proofErr w:type="spellStart"/>
      <w:r w:rsidR="005E0384">
        <w:t>Beggs</w:t>
      </w:r>
      <w:proofErr w:type="spellEnd"/>
      <w:r w:rsidR="005E0384">
        <w:t xml:space="preserve"> &amp; </w:t>
      </w:r>
      <w:proofErr w:type="spellStart"/>
      <w:r w:rsidR="005E0384">
        <w:t>Graddy</w:t>
      </w:r>
      <w:proofErr w:type="spellEnd"/>
      <w:r w:rsidR="005E0384">
        <w:t xml:space="preserve">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D2284F">
      <w:pPr>
        <w:spacing w:line="360" w:lineRule="auto"/>
      </w:pPr>
      <w:r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</w:t>
      </w:r>
      <w:r w:rsidR="00772C2B">
        <w:t xml:space="preserve">very </w:t>
      </w:r>
      <w:r w:rsidR="005773C4">
        <w:t xml:space="preserve">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295549">
        <w:t xml:space="preserve">may </w:t>
      </w:r>
      <w:r w:rsidR="003D4B6C">
        <w:t>gain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the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 must also be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must be 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>paintings must be examined under ultraviolet light, and so forth.</w:t>
      </w:r>
      <w:r w:rsidR="006001DC">
        <w:t xml:space="preserve"> </w:t>
      </w:r>
      <w:r w:rsidR="00267A64">
        <w:t>We suspect</w:t>
      </w:r>
      <w:r w:rsidR="00487EC4">
        <w:t xml:space="preserve"> these factors explain why</w:t>
      </w:r>
      <w:r w:rsidR="003572F1">
        <w:t xml:space="preserve"> </w:t>
      </w:r>
      <w:proofErr w:type="spellStart"/>
      <w:r w:rsidR="003572F1">
        <w:t>Beggs</w:t>
      </w:r>
      <w:proofErr w:type="spellEnd"/>
      <w:r w:rsidR="003572F1">
        <w:t xml:space="preserve"> &amp; </w:t>
      </w:r>
      <w:proofErr w:type="spellStart"/>
      <w:r w:rsidR="003572F1">
        <w:t>Graddy</w:t>
      </w:r>
      <w:proofErr w:type="spellEnd"/>
      <w:r w:rsidR="003572F1">
        <w:t xml:space="preserve">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>s in the former category</w:t>
      </w:r>
      <w:r w:rsidR="00B40214">
        <w:t xml:space="preserve"> </w:t>
      </w:r>
      <w:r w:rsidR="00C126B0">
        <w:lastRenderedPageBreak/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5C44E1">
        <w:t xml:space="preserve">likely </w:t>
      </w:r>
      <w:r w:rsidR="009D3209">
        <w:t xml:space="preserve">to be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  <w:bookmarkStart w:id="0" w:name="_GoBack"/>
      <w:bookmarkEnd w:id="0"/>
    </w:p>
    <w:p w:rsidR="00B218DD" w:rsidRPr="00B218DD" w:rsidRDefault="005819EF" w:rsidP="00336A45">
      <w:pPr>
        <w:spacing w:line="36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</w:t>
      </w:r>
      <w:proofErr w:type="spellStart"/>
      <w:r w:rsidR="00850D8A">
        <w:t>Beggs</w:t>
      </w:r>
      <w:proofErr w:type="spellEnd"/>
      <w:r w:rsidR="002D7963">
        <w:t xml:space="preserve"> </w:t>
      </w:r>
      <w:r w:rsidR="00850D8A">
        <w:t xml:space="preserve">&amp; </w:t>
      </w:r>
      <w:proofErr w:type="spellStart"/>
      <w:r w:rsidR="00850D8A">
        <w:t>Graddy</w:t>
      </w:r>
      <w:proofErr w:type="spellEnd"/>
      <w:r w:rsidR="00850D8A">
        <w:t xml:space="preserve">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 xml:space="preserve">to </w:t>
      </w:r>
      <w:r w:rsidR="00454937">
        <w:t>art experts</w:t>
      </w:r>
      <w:r w:rsidR="003B7379">
        <w:t xml:space="preserve"> and researchers.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>to 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0FD" w:rsidRDefault="006430FD" w:rsidP="003E0DB9">
      <w:r>
        <w:separator/>
      </w:r>
    </w:p>
  </w:endnote>
  <w:endnote w:type="continuationSeparator" w:id="0">
    <w:p w:rsidR="006430FD" w:rsidRDefault="006430FD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0FD" w:rsidRDefault="006430FD" w:rsidP="003E0DB9">
      <w:r>
        <w:separator/>
      </w:r>
    </w:p>
  </w:footnote>
  <w:footnote w:type="continuationSeparator" w:id="0">
    <w:p w:rsidR="006430FD" w:rsidRDefault="006430FD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2F03">
        <w:t>Strack</w:t>
      </w:r>
      <w:proofErr w:type="spellEnd"/>
      <w:r w:rsidRPr="00922F03">
        <w:t xml:space="preserve">, Fritz; </w:t>
      </w:r>
      <w:proofErr w:type="spellStart"/>
      <w:r w:rsidRPr="00922F03">
        <w:t>Mussweiler</w:t>
      </w:r>
      <w:proofErr w:type="spellEnd"/>
      <w:r w:rsidRPr="00922F03">
        <w:t>, Thomas (1997). "Explaining the enigmatic anchoring effect: Mechanisms of selective accessibility.</w:t>
      </w:r>
      <w:proofErr w:type="gramStart"/>
      <w:r w:rsidRPr="00922F03">
        <w:t>".</w:t>
      </w:r>
      <w:proofErr w:type="gramEnd"/>
      <w:r w:rsidRPr="00922F03">
        <w:t xml:space="preserve">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Rajendran</w:t>
      </w:r>
      <w:proofErr w:type="spellEnd"/>
      <w:r>
        <w:t xml:space="preserve"> &amp; </w:t>
      </w:r>
      <w:proofErr w:type="spellStart"/>
      <w:r>
        <w:t>Tellis</w:t>
      </w:r>
      <w:proofErr w:type="spellEnd"/>
      <w:r>
        <w:t xml:space="preserve"> (1994); Greenleaf (1995); </w:t>
      </w:r>
      <w:proofErr w:type="spellStart"/>
      <w:r>
        <w:t>Geltner</w:t>
      </w:r>
      <w:proofErr w:type="spellEnd"/>
      <w:r>
        <w:t xml:space="preserve">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Frykblom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Peter, and Jason F.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Shogren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Flachaire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Emmanuel, and Guillaume Hollard. "Starting point bias and respondent uncertainty in dichotomous choice contingent valuation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Kinney Jr, William R., and Wilfred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Bucchianeri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Grace W., and Julia 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Nianhang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Xu, and Wu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Ku, Gillian, Adam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Galinsky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J. Keith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Murnighan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Dan, George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Loewenstein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Drazen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Leung, Tin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 xml:space="preserve">Mei, J., et al. "Loss Aversion? What Loss Aversion? Some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Suprising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Cerdá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Pénasse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Julien, Luc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Renneboog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Christophe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Spaenjers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proofErr w:type="spellStart"/>
      <w:r>
        <w:t>Graddy</w:t>
      </w:r>
      <w:proofErr w:type="spellEnd"/>
      <w:r>
        <w:t xml:space="preserve">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 xml:space="preserve">– in </w:t>
      </w:r>
      <w:proofErr w:type="spellStart"/>
      <w:r w:rsidR="00EF30B8">
        <w:t>Beggs</w:t>
      </w:r>
      <w:proofErr w:type="spellEnd"/>
      <w:r w:rsidR="00EF30B8">
        <w:t xml:space="preserve"> &amp; </w:t>
      </w:r>
      <w:proofErr w:type="spellStart"/>
      <w:r w:rsidR="00EF30B8">
        <w:t>Graddy</w:t>
      </w:r>
      <w:proofErr w:type="spellEnd"/>
      <w:r w:rsidR="00EF30B8">
        <w:t xml:space="preserve">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4010F"/>
    <w:rsid w:val="000403BA"/>
    <w:rsid w:val="00040992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7FDE"/>
    <w:rsid w:val="00060847"/>
    <w:rsid w:val="00060E61"/>
    <w:rsid w:val="00060F3D"/>
    <w:rsid w:val="0006168D"/>
    <w:rsid w:val="00061EAA"/>
    <w:rsid w:val="00061F9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E06"/>
    <w:rsid w:val="000F4F34"/>
    <w:rsid w:val="000F5464"/>
    <w:rsid w:val="000F62C3"/>
    <w:rsid w:val="000F6F7F"/>
    <w:rsid w:val="000F7A65"/>
    <w:rsid w:val="001002DA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F034D"/>
    <w:rsid w:val="001F11E8"/>
    <w:rsid w:val="001F165B"/>
    <w:rsid w:val="001F20E6"/>
    <w:rsid w:val="001F2159"/>
    <w:rsid w:val="001F2BB2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963"/>
    <w:rsid w:val="002E0DF2"/>
    <w:rsid w:val="002E1EE0"/>
    <w:rsid w:val="002E20D7"/>
    <w:rsid w:val="002E3558"/>
    <w:rsid w:val="002E4128"/>
    <w:rsid w:val="002E4838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719D"/>
    <w:rsid w:val="003076E0"/>
    <w:rsid w:val="00310650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F09"/>
    <w:rsid w:val="00336A45"/>
    <w:rsid w:val="00337151"/>
    <w:rsid w:val="00340174"/>
    <w:rsid w:val="0034055C"/>
    <w:rsid w:val="00340B85"/>
    <w:rsid w:val="00341978"/>
    <w:rsid w:val="00342868"/>
    <w:rsid w:val="00343512"/>
    <w:rsid w:val="00343CE5"/>
    <w:rsid w:val="00344265"/>
    <w:rsid w:val="00345CD8"/>
    <w:rsid w:val="003463E0"/>
    <w:rsid w:val="0034670A"/>
    <w:rsid w:val="00347580"/>
    <w:rsid w:val="00347893"/>
    <w:rsid w:val="003511AA"/>
    <w:rsid w:val="003524B2"/>
    <w:rsid w:val="00352D3F"/>
    <w:rsid w:val="00353B2A"/>
    <w:rsid w:val="0035456D"/>
    <w:rsid w:val="0035491E"/>
    <w:rsid w:val="00354977"/>
    <w:rsid w:val="00354C61"/>
    <w:rsid w:val="00355279"/>
    <w:rsid w:val="00356512"/>
    <w:rsid w:val="003566DF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577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6D13"/>
    <w:rsid w:val="003F7624"/>
    <w:rsid w:val="0040098B"/>
    <w:rsid w:val="00400C1C"/>
    <w:rsid w:val="00400D3E"/>
    <w:rsid w:val="00400D6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C52"/>
    <w:rsid w:val="00487EB6"/>
    <w:rsid w:val="00487EC4"/>
    <w:rsid w:val="004905B0"/>
    <w:rsid w:val="00490B56"/>
    <w:rsid w:val="00490D77"/>
    <w:rsid w:val="0049135F"/>
    <w:rsid w:val="00491AB6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96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2007"/>
    <w:rsid w:val="00522025"/>
    <w:rsid w:val="00523B39"/>
    <w:rsid w:val="00524A98"/>
    <w:rsid w:val="005304F5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3A38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BD"/>
    <w:rsid w:val="005E54D4"/>
    <w:rsid w:val="005E58E2"/>
    <w:rsid w:val="005E66AE"/>
    <w:rsid w:val="005E7045"/>
    <w:rsid w:val="005E7269"/>
    <w:rsid w:val="005F202A"/>
    <w:rsid w:val="005F2AE8"/>
    <w:rsid w:val="005F3955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85A"/>
    <w:rsid w:val="00610DB0"/>
    <w:rsid w:val="006112B0"/>
    <w:rsid w:val="00613106"/>
    <w:rsid w:val="006142E8"/>
    <w:rsid w:val="00615B47"/>
    <w:rsid w:val="00617271"/>
    <w:rsid w:val="0061745B"/>
    <w:rsid w:val="00617824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0FD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5FC7"/>
    <w:rsid w:val="00657DFF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DCE"/>
    <w:rsid w:val="00694A96"/>
    <w:rsid w:val="00695D57"/>
    <w:rsid w:val="00695FB5"/>
    <w:rsid w:val="00696101"/>
    <w:rsid w:val="00696516"/>
    <w:rsid w:val="00696AC3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3497"/>
    <w:rsid w:val="006B34B7"/>
    <w:rsid w:val="006B4088"/>
    <w:rsid w:val="006B5468"/>
    <w:rsid w:val="006B6165"/>
    <w:rsid w:val="006B6DC0"/>
    <w:rsid w:val="006B6F67"/>
    <w:rsid w:val="006B7772"/>
    <w:rsid w:val="006B79AC"/>
    <w:rsid w:val="006C0D44"/>
    <w:rsid w:val="006C157F"/>
    <w:rsid w:val="006C204A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C2B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90912"/>
    <w:rsid w:val="00791686"/>
    <w:rsid w:val="0079189D"/>
    <w:rsid w:val="00792554"/>
    <w:rsid w:val="00795240"/>
    <w:rsid w:val="0079528C"/>
    <w:rsid w:val="007957AD"/>
    <w:rsid w:val="00796D17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FB8"/>
    <w:rsid w:val="007C4258"/>
    <w:rsid w:val="007C451F"/>
    <w:rsid w:val="007C4769"/>
    <w:rsid w:val="007C4C9A"/>
    <w:rsid w:val="007C4D72"/>
    <w:rsid w:val="007C4D75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5099"/>
    <w:rsid w:val="008952EF"/>
    <w:rsid w:val="00895A41"/>
    <w:rsid w:val="00895A5B"/>
    <w:rsid w:val="00895FA4"/>
    <w:rsid w:val="00896BA0"/>
    <w:rsid w:val="008A001E"/>
    <w:rsid w:val="008A3384"/>
    <w:rsid w:val="008A395A"/>
    <w:rsid w:val="008A3F89"/>
    <w:rsid w:val="008A4408"/>
    <w:rsid w:val="008A5619"/>
    <w:rsid w:val="008A6462"/>
    <w:rsid w:val="008A67D7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441A"/>
    <w:rsid w:val="008C4E49"/>
    <w:rsid w:val="008C52BE"/>
    <w:rsid w:val="008C5393"/>
    <w:rsid w:val="008C563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B39"/>
    <w:rsid w:val="00922C1A"/>
    <w:rsid w:val="00923017"/>
    <w:rsid w:val="0092341A"/>
    <w:rsid w:val="009236F8"/>
    <w:rsid w:val="00923AA6"/>
    <w:rsid w:val="00923C2B"/>
    <w:rsid w:val="00924EE3"/>
    <w:rsid w:val="00926B4E"/>
    <w:rsid w:val="00927009"/>
    <w:rsid w:val="009270BC"/>
    <w:rsid w:val="00930022"/>
    <w:rsid w:val="00930F39"/>
    <w:rsid w:val="00930F7D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C89"/>
    <w:rsid w:val="009D7EF0"/>
    <w:rsid w:val="009E04EA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2CA"/>
    <w:rsid w:val="00A46553"/>
    <w:rsid w:val="00A467B1"/>
    <w:rsid w:val="00A47BCD"/>
    <w:rsid w:val="00A47F0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52E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F78"/>
    <w:rsid w:val="00AE4FB8"/>
    <w:rsid w:val="00AE5CC7"/>
    <w:rsid w:val="00AE61E0"/>
    <w:rsid w:val="00AE76B3"/>
    <w:rsid w:val="00AF182D"/>
    <w:rsid w:val="00AF284E"/>
    <w:rsid w:val="00AF3E97"/>
    <w:rsid w:val="00AF4F67"/>
    <w:rsid w:val="00AF5185"/>
    <w:rsid w:val="00AF7A06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1516"/>
    <w:rsid w:val="00B31B2D"/>
    <w:rsid w:val="00B320E4"/>
    <w:rsid w:val="00B3465E"/>
    <w:rsid w:val="00B35ABC"/>
    <w:rsid w:val="00B362AA"/>
    <w:rsid w:val="00B36E3E"/>
    <w:rsid w:val="00B37813"/>
    <w:rsid w:val="00B37AD5"/>
    <w:rsid w:val="00B40214"/>
    <w:rsid w:val="00B40CC3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A23"/>
    <w:rsid w:val="00CF3FF6"/>
    <w:rsid w:val="00CF50BA"/>
    <w:rsid w:val="00CF5741"/>
    <w:rsid w:val="00CF5E04"/>
    <w:rsid w:val="00CF624D"/>
    <w:rsid w:val="00CF7385"/>
    <w:rsid w:val="00CF7B19"/>
    <w:rsid w:val="00D00142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B"/>
    <w:rsid w:val="00E850A3"/>
    <w:rsid w:val="00E857C8"/>
    <w:rsid w:val="00E85811"/>
    <w:rsid w:val="00E86D9D"/>
    <w:rsid w:val="00E87D7F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456F"/>
    <w:rsid w:val="00FA475F"/>
    <w:rsid w:val="00FA5C46"/>
    <w:rsid w:val="00FA7039"/>
    <w:rsid w:val="00FA70E2"/>
    <w:rsid w:val="00FA7EC7"/>
    <w:rsid w:val="00FA7EE7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7B11"/>
    <w:rsid w:val="00FC7E20"/>
    <w:rsid w:val="00FD02FC"/>
    <w:rsid w:val="00FD0878"/>
    <w:rsid w:val="00FD1556"/>
    <w:rsid w:val="00FD1A7F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6AD2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56E5-FE66-47C0-8F5A-CEA91215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8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4748</cp:revision>
  <dcterms:created xsi:type="dcterms:W3CDTF">2016-03-27T02:43:00Z</dcterms:created>
  <dcterms:modified xsi:type="dcterms:W3CDTF">2016-03-29T06:08:00Z</dcterms:modified>
</cp:coreProperties>
</file>