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593824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  <w:r w:rsidR="00F14A87">
        <w:rPr>
          <w:rFonts w:eastAsiaTheme="minorEastAsia"/>
        </w:rPr>
        <w:t>Additionally, the intercept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44EC6">
        <w:rPr>
          <w:rFonts w:eastAsiaTheme="minorEastAsia"/>
        </w:rPr>
        <w:t xml:space="preserve"> </w:t>
      </w:r>
      <w:r w:rsidR="00142110">
        <w:rPr>
          <w:rFonts w:eastAsiaTheme="minorEastAsia"/>
        </w:rPr>
        <w:t>represents</w:t>
      </w:r>
      <w:r w:rsidR="007764EB">
        <w:rPr>
          <w:rFonts w:eastAsiaTheme="minorEastAsia"/>
        </w:rPr>
        <w:t xml:space="preserve"> the</w:t>
      </w:r>
      <w:r w:rsidR="00E90EEE">
        <w:rPr>
          <w:rFonts w:eastAsiaTheme="minorEastAsia"/>
        </w:rPr>
        <w:t xml:space="preserve"> value of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764EB">
        <w:rPr>
          <w:rFonts w:eastAsiaTheme="minorEastAsia"/>
        </w:rPr>
        <w:t xml:space="preserve"> </w:t>
      </w:r>
      <w:r w:rsidR="007C35A1">
        <w:rPr>
          <w:rFonts w:eastAsiaTheme="minorEastAsia"/>
        </w:rPr>
        <w:t xml:space="preserve">in the absence of other </w:t>
      </w:r>
      <w:r w:rsidR="006F6346">
        <w:rPr>
          <w:rFonts w:eastAsiaTheme="minorEastAsia"/>
        </w:rPr>
        <w:t>predictors.</w:t>
      </w:r>
      <w:r w:rsidR="00AB33C2">
        <w:rPr>
          <w:rFonts w:eastAsiaTheme="minorEastAsia"/>
        </w:rPr>
        <w:t xml:space="preserve"> For example, if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8D23FF">
        <w:rPr>
          <w:rFonts w:eastAsiaTheme="minorEastAsia"/>
        </w:rPr>
        <w:t xml:space="preserve"> represents </w:t>
      </w:r>
      <w:r w:rsidR="00535A75">
        <w:rPr>
          <w:rFonts w:eastAsiaTheme="minorEastAsia"/>
        </w:rPr>
        <w:t xml:space="preserve">hammer </w:t>
      </w:r>
      <w:r w:rsidR="000D5A99">
        <w:rPr>
          <w:rFonts w:eastAsiaTheme="minorEastAsia"/>
        </w:rPr>
        <w:t xml:space="preserve">(sale) </w:t>
      </w:r>
      <w:r w:rsidR="00535A75">
        <w:rPr>
          <w:rFonts w:eastAsiaTheme="minorEastAsia"/>
        </w:rPr>
        <w:t>price,</w:t>
      </w:r>
      <w:r w:rsidR="00373BF6">
        <w:rPr>
          <w:rFonts w:eastAsiaTheme="minorEastAsia"/>
        </w:rPr>
        <w:t xml:space="preserve"> </w:t>
      </w:r>
      <w:r w:rsidR="00FB472C">
        <w:rPr>
          <w:rFonts w:eastAsiaTheme="minorEastAsia"/>
        </w:rPr>
        <w:t xml:space="preserve">then a high intercept </w:t>
      </w:r>
      <w:r w:rsidR="00FA5A18">
        <w:rPr>
          <w:rFonts w:eastAsiaTheme="minorEastAsia"/>
        </w:rPr>
        <w:t>could suggest</w:t>
      </w:r>
      <w:r w:rsidR="00E00E90">
        <w:rPr>
          <w:rFonts w:eastAsiaTheme="minorEastAsia"/>
        </w:rPr>
        <w:t xml:space="preserve"> </w:t>
      </w:r>
      <w:r w:rsidR="00ED17DE">
        <w:rPr>
          <w:rFonts w:eastAsiaTheme="minorEastAsia"/>
        </w:rPr>
        <w:t xml:space="preserve">a </w:t>
      </w:r>
      <w:r w:rsidR="008837A2">
        <w:rPr>
          <w:rFonts w:eastAsiaTheme="minorEastAsia"/>
        </w:rPr>
        <w:t xml:space="preserve">high average </w:t>
      </w:r>
      <w:r w:rsidR="00C5259E">
        <w:rPr>
          <w:rFonts w:eastAsiaTheme="minorEastAsia"/>
        </w:rPr>
        <w:t xml:space="preserve">price for </w:t>
      </w:r>
      <w:r w:rsidR="008F64C0">
        <w:rPr>
          <w:rFonts w:eastAsiaTheme="minorEastAsia"/>
        </w:rPr>
        <w:t xml:space="preserve">paintings </w:t>
      </w:r>
      <w:r w:rsidR="00375896">
        <w:rPr>
          <w:rFonts w:eastAsiaTheme="minorEastAsia"/>
        </w:rPr>
        <w:t>across</w:t>
      </w:r>
      <w:r w:rsidR="00510773">
        <w:rPr>
          <w:rFonts w:eastAsiaTheme="minorEastAsia"/>
        </w:rPr>
        <w:t xml:space="preserve"> the given market.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  <w:bookmarkStart w:id="0" w:name="_GoBack"/>
      <w:bookmarkEnd w:id="0"/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>except that we 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593824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 xml:space="preserve">differences by including a measure of </w:t>
      </w:r>
      <w:r w:rsidR="0064633F">
        <w:rPr>
          <w:rFonts w:eastAsiaTheme="minorEastAsia"/>
        </w:rPr>
        <w:lastRenderedPageBreak/>
        <w:t>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593824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593824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593824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</w:t>
      </w:r>
      <w:r w:rsidR="000B5B76">
        <w:rPr>
          <w:rFonts w:eastAsiaTheme="minorEastAsia"/>
        </w:rPr>
        <w:lastRenderedPageBreak/>
        <w:t xml:space="preserve">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593824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D63426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</w:t>
      </w:r>
      <w:r w:rsidR="00F67FAC">
        <w:rPr>
          <w:rFonts w:eastAsiaTheme="minorEastAsia"/>
        </w:rPr>
        <w:lastRenderedPageBreak/>
        <w:t xml:space="preserve">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CC73E4" w:rsidRDefault="00CC73E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>The measures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4FE4">
        <w:rPr>
          <w:rFonts w:eastAsiaTheme="minorEastAsia"/>
        </w:rPr>
        <w:t xml:space="preserve"> </w:t>
      </w:r>
      <w:r w:rsidR="001F2324">
        <w:rPr>
          <w:rFonts w:eastAsiaTheme="minorEastAsia"/>
        </w:rPr>
        <w:t xml:space="preserve">are similar, </w:t>
      </w:r>
      <w:r w:rsidR="00CB4E9E">
        <w:rPr>
          <w:rFonts w:eastAsiaTheme="minorEastAsia"/>
        </w:rPr>
        <w:t xml:space="preserve">given that both draw </w:t>
      </w:r>
      <w:r w:rsidR="00A84FA7">
        <w:rPr>
          <w:rFonts w:eastAsiaTheme="minorEastAsia"/>
        </w:rPr>
        <w:t>upon hedonic features, and oft</w:t>
      </w:r>
      <w:r w:rsidR="002A411D">
        <w:rPr>
          <w:rFonts w:eastAsiaTheme="minorEastAsia"/>
        </w:rPr>
        <w:t xml:space="preserve">en yield similar results (as we find later). </w:t>
      </w:r>
      <w:r w:rsidR="00D21312">
        <w:rPr>
          <w:rFonts w:eastAsiaTheme="minorEastAsia"/>
        </w:rPr>
        <w:t>However,</w:t>
      </w:r>
      <w:r w:rsidR="0091539B">
        <w:rPr>
          <w:rFonts w:eastAsiaTheme="minorEastAsia"/>
        </w:rPr>
        <w:t xml:space="preserve"> they are distinct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47482">
        <w:rPr>
          <w:rFonts w:eastAsiaTheme="minorEastAsia"/>
        </w:rPr>
        <w:t xml:space="preserve"> includes temporal effects (which do not enter </w:t>
      </w:r>
      <w:r w:rsidR="00870947">
        <w:rPr>
          <w:rFonts w:eastAsiaTheme="minorEastAsia"/>
        </w:rPr>
        <w:t xml:space="preserve">into </w:t>
      </w:r>
      <w:r w:rsidR="00047482">
        <w:rPr>
          <w:rFonts w:eastAsiaTheme="minorEastAsia"/>
        </w:rPr>
        <w:t xml:space="preserve">the hedonic regressions), </w:t>
      </w:r>
      <w:r w:rsidR="003F6DE1">
        <w:rPr>
          <w:rFonts w:eastAsiaTheme="minorEastAsia"/>
        </w:rPr>
        <w:t>an</w:t>
      </w:r>
      <w:r w:rsidR="009455D6">
        <w:rPr>
          <w:rFonts w:eastAsiaTheme="minorEastAsia"/>
        </w:rPr>
        <w:t>d</w:t>
      </w:r>
      <w:r w:rsidR="0051336A">
        <w:rPr>
          <w:rFonts w:eastAsiaTheme="minorEastAsia"/>
        </w:rPr>
        <w:t xml:space="preserve"> </w:t>
      </w:r>
      <w:r w:rsidR="00F84574">
        <w:rPr>
          <w:rFonts w:eastAsiaTheme="minorEastAsia"/>
        </w:rPr>
        <w:t xml:space="preserve">accounts for </w:t>
      </w:r>
      <w:r w:rsidR="001E1BCC">
        <w:rPr>
          <w:rFonts w:eastAsiaTheme="minorEastAsia"/>
        </w:rPr>
        <w:t xml:space="preserve">the </w:t>
      </w:r>
      <w:r w:rsidR="00F84574">
        <w:rPr>
          <w:rFonts w:eastAsiaTheme="minorEastAsia"/>
        </w:rPr>
        <w:t xml:space="preserve">relative </w:t>
      </w:r>
      <w:r w:rsidR="001E1BCC">
        <w:rPr>
          <w:rFonts w:eastAsiaTheme="minorEastAsia"/>
        </w:rPr>
        <w:t xml:space="preserve">differences </w:t>
      </w:r>
      <w:r w:rsidR="006D6525">
        <w:rPr>
          <w:rFonts w:eastAsiaTheme="minorEastAsia"/>
        </w:rPr>
        <w:t xml:space="preserve">in size </w:t>
      </w:r>
      <w:r w:rsidR="005446B3">
        <w:rPr>
          <w:rFonts w:eastAsiaTheme="minorEastAsia"/>
        </w:rPr>
        <w:t xml:space="preserve">between </w:t>
      </w:r>
      <w:r w:rsidR="00046819">
        <w:rPr>
          <w:rFonts w:eastAsiaTheme="minorEastAsia"/>
        </w:rPr>
        <w:t>works, which are</w:t>
      </w:r>
      <w:r w:rsidR="006261B2">
        <w:rPr>
          <w:rFonts w:eastAsiaTheme="minorEastAsia"/>
        </w:rPr>
        <w:t xml:space="preserve"> not</w:t>
      </w:r>
      <w:r w:rsidR="0091085C">
        <w:rPr>
          <w:rFonts w:eastAsiaTheme="minorEastAsia"/>
        </w:rPr>
        <w:t xml:space="preserve"> </w:t>
      </w:r>
      <w:r w:rsidR="00CE1F29">
        <w:rPr>
          <w:rFonts w:eastAsiaTheme="minorEastAsia"/>
        </w:rPr>
        <w:t>explicitly</w:t>
      </w:r>
      <w:r w:rsidR="006261B2">
        <w:rPr>
          <w:rFonts w:eastAsiaTheme="minorEastAsia"/>
        </w:rPr>
        <w:t xml:space="preserve"> captured in the</w:t>
      </w:r>
      <w:r w:rsidR="0045235D">
        <w:rPr>
          <w:rFonts w:eastAsiaTheme="minorEastAsia"/>
        </w:rPr>
        <w:t xml:space="preserve"> individual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D572D5">
        <w:rPr>
          <w:rFonts w:eastAsiaTheme="minorEastAsia"/>
        </w:rPr>
        <w:t xml:space="preserve"> terms.</w:t>
      </w:r>
      <w:r w:rsidR="00901F65">
        <w:rPr>
          <w:rFonts w:eastAsiaTheme="minorEastAsia"/>
        </w:rPr>
        <w:t xml:space="preserve"> </w:t>
      </w:r>
    </w:p>
    <w:p w:rsidR="00AA09D1" w:rsidRPr="00F66360" w:rsidRDefault="00AA09D1" w:rsidP="00E51F30">
      <w:pPr>
        <w:spacing w:before="240" w:line="480" w:lineRule="auto"/>
        <w:ind w:firstLine="0"/>
        <w:rPr>
          <w:rFonts w:eastAsiaTheme="minorEastAsia"/>
        </w:rPr>
      </w:pP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 xml:space="preserve">&lt; do all this stuff </w:t>
      </w:r>
      <w:r w:rsidR="0012499C">
        <w:rPr>
          <w:rFonts w:eastAsiaTheme="minorEastAsia"/>
        </w:rPr>
        <w:t xml:space="preserve">after full draft. </w:t>
      </w:r>
      <w:r w:rsidR="00390EB0">
        <w:rPr>
          <w:rFonts w:eastAsiaTheme="minorEastAsia"/>
        </w:rPr>
        <w:t xml:space="preserve">You CAN already talk about how measures of substitution </w:t>
      </w:r>
      <w:r w:rsidR="00836851">
        <w:rPr>
          <w:rFonts w:eastAsiaTheme="minorEastAsia"/>
        </w:rPr>
        <w:t xml:space="preserve">are helpful/not helpful for understanding anchoring, but independently of that, might be nice to have regression. Maybe regress real prices </w:t>
      </w:r>
      <w:r w:rsidR="002B46A6">
        <w:rPr>
          <w:rFonts w:eastAsiaTheme="minorEastAsia"/>
        </w:rPr>
        <w:t xml:space="preserve">for pieces </w:t>
      </w:r>
      <w:r w:rsidR="00836851">
        <w:rPr>
          <w:rFonts w:eastAsiaTheme="minorEastAsia"/>
        </w:rPr>
        <w:t>on measures of substi</w:t>
      </w:r>
      <w:r w:rsidR="00B36EF1">
        <w:rPr>
          <w:rFonts w:eastAsiaTheme="minorEastAsia"/>
        </w:rPr>
        <w:t xml:space="preserve">tution to assess their accuracy. </w:t>
      </w:r>
      <w:r w:rsidR="004C6E33">
        <w:rPr>
          <w:rFonts w:eastAsiaTheme="minorEastAsia"/>
        </w:rPr>
        <w:t>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24" w:rsidRDefault="00593824" w:rsidP="000A33F7">
      <w:pPr>
        <w:spacing w:line="240" w:lineRule="auto"/>
      </w:pPr>
      <w:r>
        <w:separator/>
      </w:r>
    </w:p>
  </w:endnote>
  <w:endnote w:type="continuationSeparator" w:id="0">
    <w:p w:rsidR="00593824" w:rsidRDefault="00593824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24" w:rsidRDefault="00593824" w:rsidP="000A33F7">
      <w:pPr>
        <w:spacing w:line="240" w:lineRule="auto"/>
      </w:pPr>
      <w:r>
        <w:separator/>
      </w:r>
    </w:p>
  </w:footnote>
  <w:footnote w:type="continuationSeparator" w:id="0">
    <w:p w:rsidR="00593824" w:rsidRDefault="00593824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0EFE"/>
    <w:rsid w:val="00042A2E"/>
    <w:rsid w:val="0004490A"/>
    <w:rsid w:val="00044FDA"/>
    <w:rsid w:val="00045287"/>
    <w:rsid w:val="000453CD"/>
    <w:rsid w:val="000457F9"/>
    <w:rsid w:val="00045852"/>
    <w:rsid w:val="00046819"/>
    <w:rsid w:val="00046A34"/>
    <w:rsid w:val="00046BDF"/>
    <w:rsid w:val="00046F83"/>
    <w:rsid w:val="00047482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5A99"/>
    <w:rsid w:val="000D68CB"/>
    <w:rsid w:val="000D74E5"/>
    <w:rsid w:val="000D7EBC"/>
    <w:rsid w:val="000E01D4"/>
    <w:rsid w:val="000E13B9"/>
    <w:rsid w:val="000E30ED"/>
    <w:rsid w:val="000E3A00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94E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4EA4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99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110"/>
    <w:rsid w:val="001423AA"/>
    <w:rsid w:val="00142AC9"/>
    <w:rsid w:val="00143994"/>
    <w:rsid w:val="00143A1D"/>
    <w:rsid w:val="00143A34"/>
    <w:rsid w:val="001444CC"/>
    <w:rsid w:val="0014501C"/>
    <w:rsid w:val="001457DE"/>
    <w:rsid w:val="00145D5A"/>
    <w:rsid w:val="001465AA"/>
    <w:rsid w:val="00146D1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6E7E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07D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BCC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324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44E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4073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6B2D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11D"/>
    <w:rsid w:val="002A4E83"/>
    <w:rsid w:val="002A5095"/>
    <w:rsid w:val="002A5939"/>
    <w:rsid w:val="002A620F"/>
    <w:rsid w:val="002B04B9"/>
    <w:rsid w:val="002B2871"/>
    <w:rsid w:val="002B2C26"/>
    <w:rsid w:val="002B35AA"/>
    <w:rsid w:val="002B46A6"/>
    <w:rsid w:val="002B4FD9"/>
    <w:rsid w:val="002B51BB"/>
    <w:rsid w:val="002B534B"/>
    <w:rsid w:val="002B5765"/>
    <w:rsid w:val="002B5C49"/>
    <w:rsid w:val="002B6BDB"/>
    <w:rsid w:val="002C23AA"/>
    <w:rsid w:val="002C416A"/>
    <w:rsid w:val="002C4B96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2F68DD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1F35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0E0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BF6"/>
    <w:rsid w:val="00373EED"/>
    <w:rsid w:val="003740A2"/>
    <w:rsid w:val="00374A46"/>
    <w:rsid w:val="00374D3C"/>
    <w:rsid w:val="00374F5D"/>
    <w:rsid w:val="0037555D"/>
    <w:rsid w:val="00375896"/>
    <w:rsid w:val="00376BE8"/>
    <w:rsid w:val="003806E1"/>
    <w:rsid w:val="003818B7"/>
    <w:rsid w:val="00382EB4"/>
    <w:rsid w:val="00383605"/>
    <w:rsid w:val="003848FB"/>
    <w:rsid w:val="00387923"/>
    <w:rsid w:val="0039071A"/>
    <w:rsid w:val="00390911"/>
    <w:rsid w:val="003909E4"/>
    <w:rsid w:val="00390EB0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48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FD"/>
    <w:rsid w:val="003F6DE1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4FE4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235D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54A0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518E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122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73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36A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75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46B3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3824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A7B23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1B2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153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2DE"/>
    <w:rsid w:val="006B3BFB"/>
    <w:rsid w:val="006B3CAF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6525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6F634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B42"/>
    <w:rsid w:val="00715C65"/>
    <w:rsid w:val="00715D09"/>
    <w:rsid w:val="00716659"/>
    <w:rsid w:val="00716870"/>
    <w:rsid w:val="0071704F"/>
    <w:rsid w:val="00717D08"/>
    <w:rsid w:val="007210B3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3460"/>
    <w:rsid w:val="00774D3C"/>
    <w:rsid w:val="007759AB"/>
    <w:rsid w:val="00775F2E"/>
    <w:rsid w:val="0077622F"/>
    <w:rsid w:val="007764EB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93D12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A1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E07"/>
    <w:rsid w:val="007E516A"/>
    <w:rsid w:val="007E51F0"/>
    <w:rsid w:val="007E525B"/>
    <w:rsid w:val="007E56E6"/>
    <w:rsid w:val="007E6697"/>
    <w:rsid w:val="007E6D16"/>
    <w:rsid w:val="007F04CE"/>
    <w:rsid w:val="007F0B6C"/>
    <w:rsid w:val="007F19ED"/>
    <w:rsid w:val="007F24DF"/>
    <w:rsid w:val="007F292B"/>
    <w:rsid w:val="007F2C6A"/>
    <w:rsid w:val="007F3074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A73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2CF"/>
    <w:rsid w:val="00836345"/>
    <w:rsid w:val="00836851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947"/>
    <w:rsid w:val="00870A37"/>
    <w:rsid w:val="00872973"/>
    <w:rsid w:val="00872A15"/>
    <w:rsid w:val="00873ECF"/>
    <w:rsid w:val="0087449C"/>
    <w:rsid w:val="00874E41"/>
    <w:rsid w:val="00875F3D"/>
    <w:rsid w:val="008762DB"/>
    <w:rsid w:val="008771F6"/>
    <w:rsid w:val="00877471"/>
    <w:rsid w:val="008811E7"/>
    <w:rsid w:val="00881DB8"/>
    <w:rsid w:val="008821B0"/>
    <w:rsid w:val="008828F2"/>
    <w:rsid w:val="008837A2"/>
    <w:rsid w:val="00884AA6"/>
    <w:rsid w:val="00884F3F"/>
    <w:rsid w:val="008852A4"/>
    <w:rsid w:val="00885351"/>
    <w:rsid w:val="0088556D"/>
    <w:rsid w:val="00886133"/>
    <w:rsid w:val="0088676F"/>
    <w:rsid w:val="00887B78"/>
    <w:rsid w:val="008908F7"/>
    <w:rsid w:val="0089188D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23FF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8F64C0"/>
    <w:rsid w:val="00901E6F"/>
    <w:rsid w:val="00901F65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085C"/>
    <w:rsid w:val="009110C3"/>
    <w:rsid w:val="009114F5"/>
    <w:rsid w:val="00913D9D"/>
    <w:rsid w:val="0091539B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5D6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3FDC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0CC5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5B35"/>
    <w:rsid w:val="009D7613"/>
    <w:rsid w:val="009D7A0B"/>
    <w:rsid w:val="009D7C5D"/>
    <w:rsid w:val="009E15AA"/>
    <w:rsid w:val="009E2666"/>
    <w:rsid w:val="009E388A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06E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A44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6A7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4FA7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09D1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3C2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1B6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6F7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36EF1"/>
    <w:rsid w:val="00B41AE5"/>
    <w:rsid w:val="00B4214B"/>
    <w:rsid w:val="00B4277C"/>
    <w:rsid w:val="00B44EC6"/>
    <w:rsid w:val="00B4573D"/>
    <w:rsid w:val="00B46FDD"/>
    <w:rsid w:val="00B477F8"/>
    <w:rsid w:val="00B50556"/>
    <w:rsid w:val="00B512F7"/>
    <w:rsid w:val="00B51C76"/>
    <w:rsid w:val="00B5315D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08DE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277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598C"/>
    <w:rsid w:val="00BE6EB7"/>
    <w:rsid w:val="00BF1CB4"/>
    <w:rsid w:val="00BF3C8A"/>
    <w:rsid w:val="00BF56D7"/>
    <w:rsid w:val="00BF6E1F"/>
    <w:rsid w:val="00C00912"/>
    <w:rsid w:val="00C00A30"/>
    <w:rsid w:val="00C01185"/>
    <w:rsid w:val="00C02076"/>
    <w:rsid w:val="00C02ADE"/>
    <w:rsid w:val="00C02CA5"/>
    <w:rsid w:val="00C035D6"/>
    <w:rsid w:val="00C03DD5"/>
    <w:rsid w:val="00C04CBE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259E"/>
    <w:rsid w:val="00C5266E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361A"/>
    <w:rsid w:val="00CB400E"/>
    <w:rsid w:val="00CB4547"/>
    <w:rsid w:val="00CB4CA4"/>
    <w:rsid w:val="00CB4E9E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C73E4"/>
    <w:rsid w:val="00CD13B7"/>
    <w:rsid w:val="00CD1593"/>
    <w:rsid w:val="00CD1D15"/>
    <w:rsid w:val="00CD2D91"/>
    <w:rsid w:val="00CD528E"/>
    <w:rsid w:val="00CD6CD5"/>
    <w:rsid w:val="00CD7054"/>
    <w:rsid w:val="00CD7834"/>
    <w:rsid w:val="00CE034A"/>
    <w:rsid w:val="00CE102C"/>
    <w:rsid w:val="00CE12AE"/>
    <w:rsid w:val="00CE1BDE"/>
    <w:rsid w:val="00CE1F29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312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4180"/>
    <w:rsid w:val="00D4572B"/>
    <w:rsid w:val="00D47175"/>
    <w:rsid w:val="00D47752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572D5"/>
    <w:rsid w:val="00D603AB"/>
    <w:rsid w:val="00D628CB"/>
    <w:rsid w:val="00D63426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87E7F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5C20"/>
    <w:rsid w:val="00DE6CC6"/>
    <w:rsid w:val="00DE70BC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0E90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598"/>
    <w:rsid w:val="00E238FF"/>
    <w:rsid w:val="00E23EC9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4F18"/>
    <w:rsid w:val="00E8597C"/>
    <w:rsid w:val="00E85CAF"/>
    <w:rsid w:val="00E85F39"/>
    <w:rsid w:val="00E8672D"/>
    <w:rsid w:val="00E86D20"/>
    <w:rsid w:val="00E86D9E"/>
    <w:rsid w:val="00E90EEE"/>
    <w:rsid w:val="00E9243F"/>
    <w:rsid w:val="00E9256F"/>
    <w:rsid w:val="00E9291D"/>
    <w:rsid w:val="00E92CBB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7DE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20AB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A87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5F87"/>
    <w:rsid w:val="00F5640A"/>
    <w:rsid w:val="00F5653A"/>
    <w:rsid w:val="00F5742E"/>
    <w:rsid w:val="00F57A2E"/>
    <w:rsid w:val="00F57F63"/>
    <w:rsid w:val="00F61BCD"/>
    <w:rsid w:val="00F62A29"/>
    <w:rsid w:val="00F63269"/>
    <w:rsid w:val="00F653F6"/>
    <w:rsid w:val="00F66360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4574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5A18"/>
    <w:rsid w:val="00FA759B"/>
    <w:rsid w:val="00FB2756"/>
    <w:rsid w:val="00FB4607"/>
    <w:rsid w:val="00FB472C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A9E18-C60E-4957-A1BF-A2288E2A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11</Pages>
  <Words>2069</Words>
  <Characters>11796</Characters>
  <Application>Microsoft Office Word</Application>
  <DocSecurity>0</DocSecurity>
  <Lines>98</Lines>
  <Paragraphs>27</Paragraphs>
  <ScaleCrop>false</ScaleCrop>
  <Company/>
  <LinksUpToDate>false</LinksUpToDate>
  <CharactersWithSpaces>13838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4346</cp:revision>
  <dcterms:created xsi:type="dcterms:W3CDTF">2016-03-29T22:43:00Z</dcterms:created>
  <dcterms:modified xsi:type="dcterms:W3CDTF">2016-04-04T18:05:00Z</dcterms:modified>
</cp:coreProperties>
</file>