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</w:t>
      </w:r>
      <w:r w:rsidR="009E7E96" w:rsidRPr="00636905">
        <w:lastRenderedPageBreak/>
        <w:t xml:space="preserve">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214A47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646CA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</w:t>
      </w:r>
      <w:r w:rsidRPr="00E6220E">
        <w:rPr>
          <w:rFonts w:eastAsiaTheme="minorEastAsia"/>
        </w:rPr>
        <w:lastRenderedPageBreak/>
        <w:t xml:space="preserve">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C07AC7">
      <w:pPr>
        <w:spacing w:before="240"/>
        <w:ind w:firstLine="0"/>
        <w:rPr>
          <w:rFonts w:eastAsiaTheme="minorEastAsia"/>
          <w:b/>
        </w:rPr>
      </w:pP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C07AC7">
      <w:pPr>
        <w:spacing w:before="24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663A2E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 our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8C606D">
        <w:rPr>
          <w:rFonts w:eastAsiaTheme="minorEastAsia"/>
        </w:rPr>
        <w:t>a 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214A47" w:rsidP="00663A2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C07AC7">
      <w:pPr>
        <w:spacing w:before="240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C7820">
      <w:pPr>
        <w:spacing w:before="240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214A47" w:rsidP="008D4E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214A47" w:rsidP="001444CC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644C24">
      <w:pPr>
        <w:spacing w:before="240"/>
        <w:ind w:firstLine="0"/>
        <w:rPr>
          <w:rFonts w:eastAsiaTheme="minorEastAsia"/>
          <w:b/>
        </w:rPr>
      </w:pPr>
    </w:p>
    <w:p w:rsidR="00D5141B" w:rsidRDefault="00B01934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bookmarkStart w:id="0" w:name="_GoBack"/>
      <w:bookmarkEnd w:id="0"/>
      <w:r>
        <w:rPr>
          <w:rFonts w:eastAsiaTheme="minorEastAsia"/>
          <w:b/>
        </w:rPr>
        <w:t>ACROSS ART PIECES</w:t>
      </w:r>
    </w:p>
    <w:p w:rsidR="00784E7D" w:rsidRPr="00D5141B" w:rsidRDefault="00B5615F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told us that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piece similarity.</w:t>
      </w:r>
    </w:p>
    <w:p w:rsidR="007C70DB" w:rsidRDefault="00D93F84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0529C">
        <w:rPr>
          <w:rFonts w:eastAsiaTheme="minorEastAsia"/>
        </w:rPr>
        <w:t>For a 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46FDA">
        <w:rPr>
          <w:rFonts w:eastAsiaTheme="minorEastAsia"/>
        </w:rPr>
        <w:t xml:space="preserve"> and other 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214A47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 diverse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D73EB3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To capture some of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B878E0">
        <w:rPr>
          <w:rFonts w:eastAsiaTheme="minorEastAsia"/>
        </w:rPr>
        <w:t xml:space="preserve"> a </w:t>
      </w:r>
      <w:r w:rsidR="001A6177">
        <w:rPr>
          <w:rFonts w:eastAsiaTheme="minorEastAsia"/>
        </w:rPr>
        <w:t>current</w:t>
      </w:r>
      <w:r w:rsidR="004913CA">
        <w:rPr>
          <w:rFonts w:eastAsiaTheme="minorEastAsia"/>
        </w:rPr>
        <w:t xml:space="preserve"> art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</w:t>
      </w:r>
      <w:r w:rsidR="000D7EBC">
        <w:rPr>
          <w:rFonts w:eastAsiaTheme="minorEastAsia"/>
        </w:rPr>
        <w:lastRenderedPageBreak/>
        <w:t>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304EC8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8908F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7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DE4C60" w:rsidRPr="00E6220E" w:rsidRDefault="0067089F" w:rsidP="00DE4C60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8E6CC4"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916F3B">
        <w:rPr>
          <w:rFonts w:eastAsiaTheme="minorEastAsia"/>
        </w:rPr>
        <w:t xml:space="preserve">for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326883">
        <w:rPr>
          <w:rFonts w:eastAsiaTheme="minorEastAsia"/>
        </w:rPr>
        <w:t xml:space="preserve">This allows us to </w:t>
      </w:r>
      <w:r w:rsidR="00D935B1">
        <w:rPr>
          <w:rFonts w:eastAsiaTheme="minorEastAsia"/>
        </w:rPr>
        <w:t xml:space="preserve">run our anchoring regressions 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CC421B">
        <w:rPr>
          <w:rFonts w:eastAsiaTheme="minorEastAsia"/>
        </w:rPr>
        <w:t>.</w:t>
      </w:r>
      <w:r w:rsidR="004750F7">
        <w:rPr>
          <w:rFonts w:eastAsiaTheme="minorEastAsia"/>
        </w:rPr>
        <w:t xml:space="preserve"> As </w:t>
      </w:r>
      <w:r w:rsidR="00A57355">
        <w:rPr>
          <w:rFonts w:eastAsiaTheme="minorEastAsia"/>
        </w:rPr>
        <w:t xml:space="preserve">shown later, we find significant </w:t>
      </w:r>
      <w:r w:rsidR="0016400B">
        <w:rPr>
          <w:rFonts w:eastAsiaTheme="minorEastAsia"/>
        </w:rPr>
        <w:t xml:space="preserve">evidence of </w:t>
      </w:r>
      <w:r w:rsidR="00AA5B05">
        <w:rPr>
          <w:rFonts w:eastAsiaTheme="minorEastAsia"/>
        </w:rPr>
        <w:t>anchoring cross-effects.</w:t>
      </w:r>
    </w:p>
    <w:p w:rsidR="00BE13DD" w:rsidRPr="00E6220E" w:rsidRDefault="00BE13DD" w:rsidP="00F20D42">
      <w:pPr>
        <w:ind w:firstLine="0"/>
        <w:rPr>
          <w:rFonts w:eastAsiaTheme="minorEastAsia"/>
        </w:rPr>
      </w:pP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A47" w:rsidRDefault="00214A47" w:rsidP="000A33F7">
      <w:pPr>
        <w:spacing w:line="240" w:lineRule="auto"/>
      </w:pPr>
      <w:r>
        <w:separator/>
      </w:r>
    </w:p>
  </w:endnote>
  <w:endnote w:type="continuationSeparator" w:id="0">
    <w:p w:rsidR="00214A47" w:rsidRDefault="00214A47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A47" w:rsidRDefault="00214A47" w:rsidP="000A33F7">
      <w:pPr>
        <w:spacing w:line="240" w:lineRule="auto"/>
      </w:pPr>
      <w:r>
        <w:separator/>
      </w:r>
    </w:p>
  </w:footnote>
  <w:footnote w:type="continuationSeparator" w:id="0">
    <w:p w:rsidR="00214A47" w:rsidRDefault="00214A47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  <w:footnote w:id="7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34B3"/>
    <w:rsid w:val="0001416A"/>
    <w:rsid w:val="00014736"/>
    <w:rsid w:val="00014F6D"/>
    <w:rsid w:val="00017C81"/>
    <w:rsid w:val="000202AB"/>
    <w:rsid w:val="00020660"/>
    <w:rsid w:val="00020DB1"/>
    <w:rsid w:val="000215BE"/>
    <w:rsid w:val="000244D3"/>
    <w:rsid w:val="00026747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763"/>
    <w:rsid w:val="000C2E9B"/>
    <w:rsid w:val="000C3222"/>
    <w:rsid w:val="000C425D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30EB6"/>
    <w:rsid w:val="001313EC"/>
    <w:rsid w:val="00133899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D5A"/>
    <w:rsid w:val="001465A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42B"/>
    <w:rsid w:val="001C37C1"/>
    <w:rsid w:val="001C46BF"/>
    <w:rsid w:val="001C4AC9"/>
    <w:rsid w:val="001C4B7E"/>
    <w:rsid w:val="001C75BC"/>
    <w:rsid w:val="001D1F5D"/>
    <w:rsid w:val="001D2BAB"/>
    <w:rsid w:val="001D49FD"/>
    <w:rsid w:val="001D5494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B75"/>
    <w:rsid w:val="001F0738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ACF"/>
    <w:rsid w:val="00220B77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603"/>
    <w:rsid w:val="00280628"/>
    <w:rsid w:val="00280F90"/>
    <w:rsid w:val="002821D2"/>
    <w:rsid w:val="00284334"/>
    <w:rsid w:val="00284C14"/>
    <w:rsid w:val="00285DAF"/>
    <w:rsid w:val="0028737D"/>
    <w:rsid w:val="002876CD"/>
    <w:rsid w:val="002917F1"/>
    <w:rsid w:val="0029260C"/>
    <w:rsid w:val="00292767"/>
    <w:rsid w:val="002929B7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39EA"/>
    <w:rsid w:val="004045CE"/>
    <w:rsid w:val="00404C80"/>
    <w:rsid w:val="00405265"/>
    <w:rsid w:val="004060B2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724B"/>
    <w:rsid w:val="00450904"/>
    <w:rsid w:val="00450C67"/>
    <w:rsid w:val="00451426"/>
    <w:rsid w:val="00451D0A"/>
    <w:rsid w:val="00453CD7"/>
    <w:rsid w:val="00455665"/>
    <w:rsid w:val="00455720"/>
    <w:rsid w:val="00455B11"/>
    <w:rsid w:val="00455EE4"/>
    <w:rsid w:val="00456903"/>
    <w:rsid w:val="00460F2A"/>
    <w:rsid w:val="00462067"/>
    <w:rsid w:val="004629E8"/>
    <w:rsid w:val="00463266"/>
    <w:rsid w:val="004639A3"/>
    <w:rsid w:val="004664F9"/>
    <w:rsid w:val="0046762C"/>
    <w:rsid w:val="00467A0E"/>
    <w:rsid w:val="00470C43"/>
    <w:rsid w:val="00471CED"/>
    <w:rsid w:val="0047292E"/>
    <w:rsid w:val="00473974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6F7C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7411"/>
    <w:rsid w:val="004C7925"/>
    <w:rsid w:val="004C7CEB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D20"/>
    <w:rsid w:val="004F283B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CF5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FAF"/>
    <w:rsid w:val="005C22A3"/>
    <w:rsid w:val="005C2965"/>
    <w:rsid w:val="005C30E1"/>
    <w:rsid w:val="005C4D03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CB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BFB"/>
    <w:rsid w:val="006B678F"/>
    <w:rsid w:val="006B6885"/>
    <w:rsid w:val="006C29B9"/>
    <w:rsid w:val="006C416E"/>
    <w:rsid w:val="006C44C2"/>
    <w:rsid w:val="006C4841"/>
    <w:rsid w:val="006C4B09"/>
    <w:rsid w:val="006C4C42"/>
    <w:rsid w:val="006C5239"/>
    <w:rsid w:val="006C5353"/>
    <w:rsid w:val="006C59A3"/>
    <w:rsid w:val="006C683E"/>
    <w:rsid w:val="006C6860"/>
    <w:rsid w:val="006C69C7"/>
    <w:rsid w:val="006C7B77"/>
    <w:rsid w:val="006D21F5"/>
    <w:rsid w:val="006D43A7"/>
    <w:rsid w:val="006D43AE"/>
    <w:rsid w:val="006D4695"/>
    <w:rsid w:val="006D56C0"/>
    <w:rsid w:val="006D5C40"/>
    <w:rsid w:val="006D78E7"/>
    <w:rsid w:val="006E0404"/>
    <w:rsid w:val="006E1696"/>
    <w:rsid w:val="006E24AE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66B"/>
    <w:rsid w:val="00724789"/>
    <w:rsid w:val="00724A4F"/>
    <w:rsid w:val="0072549E"/>
    <w:rsid w:val="007269ED"/>
    <w:rsid w:val="00727DE1"/>
    <w:rsid w:val="00731395"/>
    <w:rsid w:val="00731D55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250D"/>
    <w:rsid w:val="007A4160"/>
    <w:rsid w:val="007A5086"/>
    <w:rsid w:val="007A7C49"/>
    <w:rsid w:val="007B01E5"/>
    <w:rsid w:val="007B0339"/>
    <w:rsid w:val="007B09F0"/>
    <w:rsid w:val="007B21DD"/>
    <w:rsid w:val="007B3EB2"/>
    <w:rsid w:val="007B4A3F"/>
    <w:rsid w:val="007B4FB5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A15"/>
    <w:rsid w:val="0087449C"/>
    <w:rsid w:val="008762DB"/>
    <w:rsid w:val="008771F6"/>
    <w:rsid w:val="00877471"/>
    <w:rsid w:val="008811E7"/>
    <w:rsid w:val="00881DB8"/>
    <w:rsid w:val="008821B0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715B"/>
    <w:rsid w:val="008A0D67"/>
    <w:rsid w:val="008A19CA"/>
    <w:rsid w:val="008A2110"/>
    <w:rsid w:val="008A2260"/>
    <w:rsid w:val="008A26C2"/>
    <w:rsid w:val="008A2F8A"/>
    <w:rsid w:val="008A508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A0B"/>
    <w:rsid w:val="009D7C5D"/>
    <w:rsid w:val="009E426A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F2C"/>
    <w:rsid w:val="00A11513"/>
    <w:rsid w:val="00A119FD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C41"/>
    <w:rsid w:val="00A822BE"/>
    <w:rsid w:val="00A8251D"/>
    <w:rsid w:val="00A826C4"/>
    <w:rsid w:val="00A83712"/>
    <w:rsid w:val="00A844AD"/>
    <w:rsid w:val="00A84653"/>
    <w:rsid w:val="00A852DA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213"/>
    <w:rsid w:val="00AA08B3"/>
    <w:rsid w:val="00AA1128"/>
    <w:rsid w:val="00AA2FD7"/>
    <w:rsid w:val="00AA3B21"/>
    <w:rsid w:val="00AA5A2E"/>
    <w:rsid w:val="00AA5B05"/>
    <w:rsid w:val="00AA666B"/>
    <w:rsid w:val="00AA7A78"/>
    <w:rsid w:val="00AA7D0C"/>
    <w:rsid w:val="00AB0749"/>
    <w:rsid w:val="00AB0FF9"/>
    <w:rsid w:val="00AB20E0"/>
    <w:rsid w:val="00AB34C7"/>
    <w:rsid w:val="00AB4B0F"/>
    <w:rsid w:val="00AB5E17"/>
    <w:rsid w:val="00AB5F73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78D5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C56"/>
    <w:rsid w:val="00BB40C4"/>
    <w:rsid w:val="00BB48B8"/>
    <w:rsid w:val="00BB5485"/>
    <w:rsid w:val="00BB5A25"/>
    <w:rsid w:val="00BC0E8D"/>
    <w:rsid w:val="00BC2BA7"/>
    <w:rsid w:val="00BC35D6"/>
    <w:rsid w:val="00BC4402"/>
    <w:rsid w:val="00BD0DD0"/>
    <w:rsid w:val="00BD1179"/>
    <w:rsid w:val="00BD1468"/>
    <w:rsid w:val="00BD3A21"/>
    <w:rsid w:val="00BD4F7B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74B"/>
    <w:rsid w:val="00C3350D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B80"/>
    <w:rsid w:val="00C50F22"/>
    <w:rsid w:val="00C51311"/>
    <w:rsid w:val="00C52214"/>
    <w:rsid w:val="00C535ED"/>
    <w:rsid w:val="00C53854"/>
    <w:rsid w:val="00C5491F"/>
    <w:rsid w:val="00C54ECA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D6A"/>
    <w:rsid w:val="00C9156E"/>
    <w:rsid w:val="00C928CB"/>
    <w:rsid w:val="00C9290B"/>
    <w:rsid w:val="00C931ED"/>
    <w:rsid w:val="00C939B9"/>
    <w:rsid w:val="00C94726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E35"/>
    <w:rsid w:val="00D96FD1"/>
    <w:rsid w:val="00DA3169"/>
    <w:rsid w:val="00DA3184"/>
    <w:rsid w:val="00DA358D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8FF"/>
    <w:rsid w:val="00E26EF9"/>
    <w:rsid w:val="00E270A8"/>
    <w:rsid w:val="00E31040"/>
    <w:rsid w:val="00E31608"/>
    <w:rsid w:val="00E34214"/>
    <w:rsid w:val="00E3436A"/>
    <w:rsid w:val="00E34981"/>
    <w:rsid w:val="00E362EA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61"/>
    <w:rsid w:val="00E5233C"/>
    <w:rsid w:val="00E54308"/>
    <w:rsid w:val="00E5447F"/>
    <w:rsid w:val="00E558A5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350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2355"/>
    <w:rsid w:val="00FD3330"/>
    <w:rsid w:val="00FD4742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CD43-E13B-4F07-8895-B7181D05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7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3940</cp:revision>
  <dcterms:created xsi:type="dcterms:W3CDTF">2016-03-29T22:43:00Z</dcterms:created>
  <dcterms:modified xsi:type="dcterms:W3CDTF">2016-03-31T06:30:00Z</dcterms:modified>
</cp:coreProperties>
</file>