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(as in Beggs &amp; Graddy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as noted in Beggs &amp; Graddy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r w:rsidR="00C240F2">
        <w:rPr>
          <w:rFonts w:eastAsiaTheme="minorEastAsia"/>
        </w:rPr>
        <w:t>Beggs &amp; Graddy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316A77" w:rsidRDefault="00E85FA0" w:rsidP="00666542">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the original tables of Beggs &amp; Graddy.</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Beggs &amp; Graddy</w:t>
      </w:r>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r w:rsidR="00D928A1">
        <w:rPr>
          <w:rFonts w:eastAsiaTheme="minorEastAsia"/>
        </w:rPr>
        <w:t>Beggs &amp; Graddy</w:t>
      </w:r>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Beggs &amp; Graddy</w:t>
      </w:r>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lastRenderedPageBreak/>
        <w:t xml:space="preserve">approach </w:t>
      </w:r>
      <w:r w:rsidR="009260D2">
        <w:rPr>
          <w:rFonts w:eastAsiaTheme="minorEastAsia"/>
        </w:rPr>
        <w:t>that does not control</w:t>
      </w:r>
      <w:r w:rsidR="00725277">
        <w:rPr>
          <w:rFonts w:eastAsiaTheme="minorEastAsia"/>
        </w:rPr>
        <w:t xml:space="preserve"> for substitution</w:t>
      </w:r>
      <w:r w:rsidR="00FA6B9C">
        <w:rPr>
          <w:rFonts w:eastAsiaTheme="minorEastAsia"/>
        </w:rPr>
        <w:t xml:space="preserve"> (which </w:t>
      </w:r>
      <w:r w:rsidR="00150839">
        <w:rPr>
          <w:rFonts w:eastAsiaTheme="minorEastAsia"/>
        </w:rPr>
        <w:t>is in</w:t>
      </w:r>
      <w:r w:rsidR="00224454">
        <w:rPr>
          <w:rFonts w:eastAsiaTheme="minorEastAsia"/>
        </w:rPr>
        <w:t xml:space="preserve"> </w:t>
      </w:r>
      <w:r w:rsidR="00A176E1">
        <w:rPr>
          <w:rFonts w:eastAsiaTheme="minorEastAsia"/>
        </w:rPr>
        <w:t xml:space="preserve">our </w:t>
      </w:r>
      <w:r w:rsidR="002B55CF">
        <w:rPr>
          <w:rFonts w:eastAsiaTheme="minorEastAsia"/>
        </w:rPr>
        <w:t>expanded regression model)</w:t>
      </w:r>
      <w:r w:rsidR="00725277">
        <w:rPr>
          <w:rFonts w:eastAsiaTheme="minorEastAsia"/>
        </w:rPr>
        <w:t xml:space="preserve">,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r w:rsidR="00964AE8">
        <w:rPr>
          <w:rFonts w:eastAsiaTheme="minorEastAsia"/>
        </w:rPr>
        <w:t>Beggs &amp; Graddy</w:t>
      </w:r>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insight </w:t>
      </w:r>
      <w:r w:rsidR="002A33C5">
        <w:rPr>
          <w:rFonts w:eastAsiaTheme="minorEastAsia"/>
        </w:rPr>
        <w:t xml:space="preserve">into anchoring </w:t>
      </w:r>
      <w:r w:rsidR="0052611E">
        <w:rPr>
          <w:rFonts w:eastAsiaTheme="minorEastAsia"/>
        </w:rPr>
        <w:t>effects.</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w:t>
      </w:r>
      <w:r w:rsidR="00935C5F">
        <w:rPr>
          <w:rFonts w:eastAsiaTheme="minorEastAsia"/>
        </w:rPr>
        <w:lastRenderedPageBreak/>
        <w:t xml:space="preserve">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3B093D" w:rsidRDefault="00931D64" w:rsidP="00963F2E">
      <w:pPr>
        <w:spacing w:before="240" w:line="480" w:lineRule="auto"/>
        <w:ind w:firstLine="0"/>
        <w:rPr>
          <w:rFonts w:eastAsiaTheme="minorEastAsia"/>
        </w:rPr>
      </w:pPr>
      <w:bookmarkStart w:id="0" w:name="_GoBack"/>
      <w:bookmarkEnd w:id="0"/>
      <w:r>
        <w:rPr>
          <w:rFonts w:eastAsiaTheme="minorEastAsia"/>
        </w:rPr>
        <w:t xml:space="preserve"> </w:t>
      </w:r>
    </w:p>
    <w:p w:rsidR="008B0191" w:rsidRDefault="0061017C" w:rsidP="00B030FC">
      <w:pPr>
        <w:spacing w:before="240" w:line="480" w:lineRule="auto"/>
        <w:ind w:firstLine="0"/>
        <w:rPr>
          <w:rFonts w:eastAsiaTheme="minorEastAsia"/>
        </w:rPr>
      </w:pPr>
      <w:r>
        <w:rPr>
          <w:rFonts w:eastAsiaTheme="minorEastAsia"/>
        </w:rPr>
        <w:tab/>
      </w:r>
      <w:r w:rsidR="000C0A15">
        <w:rPr>
          <w:rFonts w:eastAsiaTheme="minorEastAsia"/>
        </w:rPr>
        <w:t xml:space="preserve"> </w:t>
      </w:r>
    </w:p>
    <w:p w:rsidR="00866B91" w:rsidRDefault="00BB54A9" w:rsidP="00BB54A9">
      <w:pPr>
        <w:tabs>
          <w:tab w:val="left" w:pos="6600"/>
        </w:tabs>
        <w:spacing w:before="240" w:line="480" w:lineRule="auto"/>
        <w:ind w:firstLine="0"/>
        <w:rPr>
          <w:rFonts w:eastAsiaTheme="minorEastAsia"/>
        </w:rPr>
      </w:pPr>
      <w:r>
        <w:rPr>
          <w:rFonts w:eastAsiaTheme="minorEastAsia"/>
        </w:rPr>
        <w:tab/>
      </w:r>
    </w:p>
    <w:p w:rsidR="00866B91" w:rsidRDefault="00866B91" w:rsidP="00866B91">
      <w:pPr>
        <w:spacing w:before="240" w:line="480" w:lineRule="auto"/>
        <w:ind w:firstLine="0"/>
        <w:rPr>
          <w:rFonts w:eastAsiaTheme="minorEastAsia"/>
        </w:rPr>
      </w:pPr>
    </w:p>
    <w:p w:rsidR="00D6694D" w:rsidRDefault="00D6694D" w:rsidP="00D11B3D">
      <w:pPr>
        <w:spacing w:before="240" w:line="480" w:lineRule="auto"/>
        <w:ind w:firstLine="0"/>
        <w:rPr>
          <w:rFonts w:eastAsiaTheme="minorEastAsia"/>
        </w:rPr>
      </w:pPr>
    </w:p>
    <w:p w:rsidR="00353A3D" w:rsidRDefault="00353A3D">
      <w:pPr>
        <w:rPr>
          <w:rFonts w:eastAsiaTheme="minorEastAsia"/>
        </w:rPr>
      </w:pPr>
      <w:r>
        <w:rPr>
          <w:rFonts w:eastAsiaTheme="minorEastAsia"/>
        </w:rPr>
        <w:br w:type="page"/>
      </w:r>
    </w:p>
    <w:p w:rsidR="0052795D" w:rsidRPr="00F24F74" w:rsidRDefault="0052795D" w:rsidP="00F24F74">
      <w:pPr>
        <w:spacing w:before="240" w:line="480" w:lineRule="auto"/>
        <w:rPr>
          <w:rFonts w:eastAsiaTheme="minorEastAsia"/>
        </w:rPr>
      </w:pPr>
    </w:p>
    <w:p w:rsidR="000B3B03" w:rsidRDefault="00BC1756" w:rsidP="00F24F74">
      <w:pPr>
        <w:spacing w:line="480" w:lineRule="auto"/>
        <w:ind w:firstLine="0"/>
        <w:jc w:val="both"/>
      </w:pPr>
      <w:r>
        <w:t>###</w:t>
      </w:r>
    </w:p>
    <w:p w:rsidR="00E73194" w:rsidRDefault="00E73194" w:rsidP="00F24F74">
      <w:pPr>
        <w:spacing w:line="480" w:lineRule="auto"/>
        <w:ind w:firstLine="0"/>
        <w:jc w:val="both"/>
      </w:pPr>
      <w:r>
        <w:t>&lt;should copy tables from Beggs &amp; Graddy here&gt;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lastRenderedPageBreak/>
        <w:t xml:space="preserve">mediumchk           -0.51240    0.50577  -1.013 0.311749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BC1756"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BC1756"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Pr>
          <w:rFonts w:ascii="Consolas" w:eastAsiaTheme="minorEastAsia" w:hAnsi="Consolas" w:cs="Consolas"/>
          <w:sz w:val="18"/>
          <w:szCs w:val="18"/>
        </w:rPr>
        <w:t>164  0.0026884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FE1C0E"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E1A"/>
    <w:rsid w:val="000020EC"/>
    <w:rsid w:val="000023EA"/>
    <w:rsid w:val="0000285D"/>
    <w:rsid w:val="00003C68"/>
    <w:rsid w:val="00004598"/>
    <w:rsid w:val="000062E2"/>
    <w:rsid w:val="00007060"/>
    <w:rsid w:val="000074C4"/>
    <w:rsid w:val="000145C1"/>
    <w:rsid w:val="000154CB"/>
    <w:rsid w:val="000155FC"/>
    <w:rsid w:val="0001663E"/>
    <w:rsid w:val="0002037F"/>
    <w:rsid w:val="000231DE"/>
    <w:rsid w:val="00033B8E"/>
    <w:rsid w:val="0003653C"/>
    <w:rsid w:val="000368CF"/>
    <w:rsid w:val="00037CA3"/>
    <w:rsid w:val="000408CD"/>
    <w:rsid w:val="00042E29"/>
    <w:rsid w:val="0004433B"/>
    <w:rsid w:val="00045B8F"/>
    <w:rsid w:val="00051188"/>
    <w:rsid w:val="00052176"/>
    <w:rsid w:val="0005254E"/>
    <w:rsid w:val="00055785"/>
    <w:rsid w:val="00057FEB"/>
    <w:rsid w:val="000608A0"/>
    <w:rsid w:val="00060E32"/>
    <w:rsid w:val="00063C5D"/>
    <w:rsid w:val="000678E1"/>
    <w:rsid w:val="00070D86"/>
    <w:rsid w:val="00075343"/>
    <w:rsid w:val="000754D5"/>
    <w:rsid w:val="00077309"/>
    <w:rsid w:val="00077B84"/>
    <w:rsid w:val="000801E0"/>
    <w:rsid w:val="000806FA"/>
    <w:rsid w:val="00080AF7"/>
    <w:rsid w:val="00090ABC"/>
    <w:rsid w:val="000918B6"/>
    <w:rsid w:val="000A012C"/>
    <w:rsid w:val="000A0824"/>
    <w:rsid w:val="000A1767"/>
    <w:rsid w:val="000A17B6"/>
    <w:rsid w:val="000A485F"/>
    <w:rsid w:val="000A5C1F"/>
    <w:rsid w:val="000A7E02"/>
    <w:rsid w:val="000B2D1C"/>
    <w:rsid w:val="000B37D0"/>
    <w:rsid w:val="000B3B03"/>
    <w:rsid w:val="000B4D9B"/>
    <w:rsid w:val="000B5380"/>
    <w:rsid w:val="000B5544"/>
    <w:rsid w:val="000B7619"/>
    <w:rsid w:val="000B79F2"/>
    <w:rsid w:val="000C0A15"/>
    <w:rsid w:val="000C3942"/>
    <w:rsid w:val="000C3DF4"/>
    <w:rsid w:val="000C79ED"/>
    <w:rsid w:val="000D2B6C"/>
    <w:rsid w:val="000D3587"/>
    <w:rsid w:val="000D3E97"/>
    <w:rsid w:val="000E01F7"/>
    <w:rsid w:val="000E2FB0"/>
    <w:rsid w:val="000F241D"/>
    <w:rsid w:val="000F2978"/>
    <w:rsid w:val="00101214"/>
    <w:rsid w:val="00106181"/>
    <w:rsid w:val="00106BF0"/>
    <w:rsid w:val="0011185C"/>
    <w:rsid w:val="001136FD"/>
    <w:rsid w:val="0011439F"/>
    <w:rsid w:val="001143F9"/>
    <w:rsid w:val="00116D56"/>
    <w:rsid w:val="00116D85"/>
    <w:rsid w:val="00117225"/>
    <w:rsid w:val="00121CE1"/>
    <w:rsid w:val="00122868"/>
    <w:rsid w:val="00130F55"/>
    <w:rsid w:val="0013283D"/>
    <w:rsid w:val="00132A30"/>
    <w:rsid w:val="00134E00"/>
    <w:rsid w:val="00137BE9"/>
    <w:rsid w:val="00143296"/>
    <w:rsid w:val="001443F8"/>
    <w:rsid w:val="00144B3E"/>
    <w:rsid w:val="0014644E"/>
    <w:rsid w:val="00146DE8"/>
    <w:rsid w:val="00150839"/>
    <w:rsid w:val="001513C1"/>
    <w:rsid w:val="00151476"/>
    <w:rsid w:val="00152523"/>
    <w:rsid w:val="00154918"/>
    <w:rsid w:val="0016271B"/>
    <w:rsid w:val="0016397C"/>
    <w:rsid w:val="00167BD9"/>
    <w:rsid w:val="001717E8"/>
    <w:rsid w:val="00171A2D"/>
    <w:rsid w:val="00174986"/>
    <w:rsid w:val="00174B0F"/>
    <w:rsid w:val="001778D6"/>
    <w:rsid w:val="00181766"/>
    <w:rsid w:val="00181ED7"/>
    <w:rsid w:val="001831D9"/>
    <w:rsid w:val="00185928"/>
    <w:rsid w:val="00190B61"/>
    <w:rsid w:val="00193534"/>
    <w:rsid w:val="001959C7"/>
    <w:rsid w:val="00197FC3"/>
    <w:rsid w:val="001A0480"/>
    <w:rsid w:val="001A150A"/>
    <w:rsid w:val="001A1BD2"/>
    <w:rsid w:val="001A283A"/>
    <w:rsid w:val="001A48AE"/>
    <w:rsid w:val="001A7A6C"/>
    <w:rsid w:val="001B0794"/>
    <w:rsid w:val="001B0947"/>
    <w:rsid w:val="001B7B24"/>
    <w:rsid w:val="001C04A2"/>
    <w:rsid w:val="001C1B34"/>
    <w:rsid w:val="001C3107"/>
    <w:rsid w:val="001C5A31"/>
    <w:rsid w:val="001D0738"/>
    <w:rsid w:val="001D183C"/>
    <w:rsid w:val="001D1AA2"/>
    <w:rsid w:val="001D3590"/>
    <w:rsid w:val="001D48F1"/>
    <w:rsid w:val="001D7234"/>
    <w:rsid w:val="001D7E27"/>
    <w:rsid w:val="001E0DC7"/>
    <w:rsid w:val="001E1EBA"/>
    <w:rsid w:val="001F07D9"/>
    <w:rsid w:val="001F28D1"/>
    <w:rsid w:val="001F2FA0"/>
    <w:rsid w:val="001F52A2"/>
    <w:rsid w:val="001F5F84"/>
    <w:rsid w:val="001F7BC6"/>
    <w:rsid w:val="002003E3"/>
    <w:rsid w:val="002042B8"/>
    <w:rsid w:val="002047E6"/>
    <w:rsid w:val="0021188E"/>
    <w:rsid w:val="00213AAC"/>
    <w:rsid w:val="00214F51"/>
    <w:rsid w:val="00215377"/>
    <w:rsid w:val="00216578"/>
    <w:rsid w:val="0022110E"/>
    <w:rsid w:val="00222E09"/>
    <w:rsid w:val="002237E3"/>
    <w:rsid w:val="00224454"/>
    <w:rsid w:val="00232CDB"/>
    <w:rsid w:val="00240DEB"/>
    <w:rsid w:val="0024168B"/>
    <w:rsid w:val="00253041"/>
    <w:rsid w:val="002553EA"/>
    <w:rsid w:val="00261147"/>
    <w:rsid w:val="002623F7"/>
    <w:rsid w:val="00262C13"/>
    <w:rsid w:val="0026329E"/>
    <w:rsid w:val="00264499"/>
    <w:rsid w:val="0027123E"/>
    <w:rsid w:val="00282BC3"/>
    <w:rsid w:val="002830C0"/>
    <w:rsid w:val="0028769C"/>
    <w:rsid w:val="0029142A"/>
    <w:rsid w:val="00292215"/>
    <w:rsid w:val="00292415"/>
    <w:rsid w:val="00294A05"/>
    <w:rsid w:val="0029623C"/>
    <w:rsid w:val="00296809"/>
    <w:rsid w:val="00296D02"/>
    <w:rsid w:val="00297C28"/>
    <w:rsid w:val="002A33C5"/>
    <w:rsid w:val="002B0EBB"/>
    <w:rsid w:val="002B55CF"/>
    <w:rsid w:val="002C07B2"/>
    <w:rsid w:val="002C0DE4"/>
    <w:rsid w:val="002C15BB"/>
    <w:rsid w:val="002C1CE5"/>
    <w:rsid w:val="002C319B"/>
    <w:rsid w:val="002C4825"/>
    <w:rsid w:val="002C50C1"/>
    <w:rsid w:val="002C547E"/>
    <w:rsid w:val="002D5507"/>
    <w:rsid w:val="002D777E"/>
    <w:rsid w:val="002D7ACF"/>
    <w:rsid w:val="002E06ED"/>
    <w:rsid w:val="002E0B4D"/>
    <w:rsid w:val="002E1B96"/>
    <w:rsid w:val="002E265C"/>
    <w:rsid w:val="002E4C77"/>
    <w:rsid w:val="002E5765"/>
    <w:rsid w:val="002E75A3"/>
    <w:rsid w:val="002E7602"/>
    <w:rsid w:val="002E7937"/>
    <w:rsid w:val="002F37D0"/>
    <w:rsid w:val="002F3A77"/>
    <w:rsid w:val="002F48D7"/>
    <w:rsid w:val="002F6CC1"/>
    <w:rsid w:val="002F7054"/>
    <w:rsid w:val="002F7DE4"/>
    <w:rsid w:val="003012CF"/>
    <w:rsid w:val="003026CC"/>
    <w:rsid w:val="00303DB9"/>
    <w:rsid w:val="00304D77"/>
    <w:rsid w:val="00304E43"/>
    <w:rsid w:val="00305441"/>
    <w:rsid w:val="00305A01"/>
    <w:rsid w:val="00307B7B"/>
    <w:rsid w:val="00310669"/>
    <w:rsid w:val="00310D27"/>
    <w:rsid w:val="003110CC"/>
    <w:rsid w:val="00315F9C"/>
    <w:rsid w:val="00316A77"/>
    <w:rsid w:val="00316D94"/>
    <w:rsid w:val="00320275"/>
    <w:rsid w:val="00321DE4"/>
    <w:rsid w:val="00323BF2"/>
    <w:rsid w:val="00323EC6"/>
    <w:rsid w:val="003242B0"/>
    <w:rsid w:val="00324863"/>
    <w:rsid w:val="00324A9F"/>
    <w:rsid w:val="0032518D"/>
    <w:rsid w:val="003278D5"/>
    <w:rsid w:val="0032797E"/>
    <w:rsid w:val="003302A4"/>
    <w:rsid w:val="0033181F"/>
    <w:rsid w:val="00333C2E"/>
    <w:rsid w:val="00334195"/>
    <w:rsid w:val="00334308"/>
    <w:rsid w:val="0033471E"/>
    <w:rsid w:val="00335DD6"/>
    <w:rsid w:val="00335E8A"/>
    <w:rsid w:val="0033682A"/>
    <w:rsid w:val="003377D4"/>
    <w:rsid w:val="00337E6D"/>
    <w:rsid w:val="0034031D"/>
    <w:rsid w:val="00342E3E"/>
    <w:rsid w:val="003448CF"/>
    <w:rsid w:val="00345B56"/>
    <w:rsid w:val="003517B0"/>
    <w:rsid w:val="00352A9E"/>
    <w:rsid w:val="00353121"/>
    <w:rsid w:val="003533E3"/>
    <w:rsid w:val="00353A3D"/>
    <w:rsid w:val="00354233"/>
    <w:rsid w:val="0035452B"/>
    <w:rsid w:val="00354F93"/>
    <w:rsid w:val="003639F1"/>
    <w:rsid w:val="00363FE7"/>
    <w:rsid w:val="00364AC2"/>
    <w:rsid w:val="00370004"/>
    <w:rsid w:val="003705A9"/>
    <w:rsid w:val="00373FF8"/>
    <w:rsid w:val="00375578"/>
    <w:rsid w:val="00375FAF"/>
    <w:rsid w:val="00376A7F"/>
    <w:rsid w:val="00380BDD"/>
    <w:rsid w:val="0038206D"/>
    <w:rsid w:val="00394082"/>
    <w:rsid w:val="003948B6"/>
    <w:rsid w:val="003A0583"/>
    <w:rsid w:val="003A166A"/>
    <w:rsid w:val="003A5441"/>
    <w:rsid w:val="003B093D"/>
    <w:rsid w:val="003B2219"/>
    <w:rsid w:val="003B2332"/>
    <w:rsid w:val="003B4A3B"/>
    <w:rsid w:val="003B4F25"/>
    <w:rsid w:val="003B5AEF"/>
    <w:rsid w:val="003B5B82"/>
    <w:rsid w:val="003C1D60"/>
    <w:rsid w:val="003C39E9"/>
    <w:rsid w:val="003C6C66"/>
    <w:rsid w:val="003C72FE"/>
    <w:rsid w:val="003D2FAD"/>
    <w:rsid w:val="003E68E4"/>
    <w:rsid w:val="003E6F19"/>
    <w:rsid w:val="003E6FBD"/>
    <w:rsid w:val="003F0065"/>
    <w:rsid w:val="003F1BE7"/>
    <w:rsid w:val="003F23BB"/>
    <w:rsid w:val="003F3454"/>
    <w:rsid w:val="003F65B7"/>
    <w:rsid w:val="00401355"/>
    <w:rsid w:val="00402B49"/>
    <w:rsid w:val="004031CB"/>
    <w:rsid w:val="0040483E"/>
    <w:rsid w:val="00406315"/>
    <w:rsid w:val="00406F56"/>
    <w:rsid w:val="0040779F"/>
    <w:rsid w:val="00410744"/>
    <w:rsid w:val="004115DE"/>
    <w:rsid w:val="0041163A"/>
    <w:rsid w:val="00414218"/>
    <w:rsid w:val="00416151"/>
    <w:rsid w:val="00434906"/>
    <w:rsid w:val="00434DE5"/>
    <w:rsid w:val="004358CE"/>
    <w:rsid w:val="004411D7"/>
    <w:rsid w:val="00445B60"/>
    <w:rsid w:val="004551C9"/>
    <w:rsid w:val="00457843"/>
    <w:rsid w:val="00462D8F"/>
    <w:rsid w:val="00474201"/>
    <w:rsid w:val="00482755"/>
    <w:rsid w:val="00482CFB"/>
    <w:rsid w:val="004836C8"/>
    <w:rsid w:val="00487CB7"/>
    <w:rsid w:val="0049005B"/>
    <w:rsid w:val="004924F9"/>
    <w:rsid w:val="00492E78"/>
    <w:rsid w:val="004933B7"/>
    <w:rsid w:val="00494D90"/>
    <w:rsid w:val="00497A83"/>
    <w:rsid w:val="00497B26"/>
    <w:rsid w:val="00497F8E"/>
    <w:rsid w:val="004A0510"/>
    <w:rsid w:val="004A1838"/>
    <w:rsid w:val="004A77B8"/>
    <w:rsid w:val="004B08A3"/>
    <w:rsid w:val="004B08EB"/>
    <w:rsid w:val="004B1234"/>
    <w:rsid w:val="004B365F"/>
    <w:rsid w:val="004B4777"/>
    <w:rsid w:val="004B6277"/>
    <w:rsid w:val="004C0D41"/>
    <w:rsid w:val="004C1322"/>
    <w:rsid w:val="004C41E5"/>
    <w:rsid w:val="004C50CB"/>
    <w:rsid w:val="004C6EAC"/>
    <w:rsid w:val="004D2BEB"/>
    <w:rsid w:val="004D608C"/>
    <w:rsid w:val="004E41A8"/>
    <w:rsid w:val="004E5476"/>
    <w:rsid w:val="004F4935"/>
    <w:rsid w:val="005018C2"/>
    <w:rsid w:val="00505126"/>
    <w:rsid w:val="00506E9E"/>
    <w:rsid w:val="00510D46"/>
    <w:rsid w:val="005141D7"/>
    <w:rsid w:val="0051658F"/>
    <w:rsid w:val="00516749"/>
    <w:rsid w:val="005208FA"/>
    <w:rsid w:val="0052224E"/>
    <w:rsid w:val="00525661"/>
    <w:rsid w:val="0052611E"/>
    <w:rsid w:val="00527003"/>
    <w:rsid w:val="0052778D"/>
    <w:rsid w:val="0052795D"/>
    <w:rsid w:val="0053549A"/>
    <w:rsid w:val="00537503"/>
    <w:rsid w:val="00537EC2"/>
    <w:rsid w:val="00540B89"/>
    <w:rsid w:val="00543363"/>
    <w:rsid w:val="0054765B"/>
    <w:rsid w:val="00547A18"/>
    <w:rsid w:val="0055162A"/>
    <w:rsid w:val="00553563"/>
    <w:rsid w:val="00562CC5"/>
    <w:rsid w:val="00563EDB"/>
    <w:rsid w:val="005719A6"/>
    <w:rsid w:val="005720B6"/>
    <w:rsid w:val="005732AB"/>
    <w:rsid w:val="0057454E"/>
    <w:rsid w:val="0057501C"/>
    <w:rsid w:val="005823BD"/>
    <w:rsid w:val="00584EE8"/>
    <w:rsid w:val="00587194"/>
    <w:rsid w:val="00592700"/>
    <w:rsid w:val="00594FA7"/>
    <w:rsid w:val="00595C43"/>
    <w:rsid w:val="005A334E"/>
    <w:rsid w:val="005A7791"/>
    <w:rsid w:val="005A7F8C"/>
    <w:rsid w:val="005B3946"/>
    <w:rsid w:val="005B42DD"/>
    <w:rsid w:val="005B4BC6"/>
    <w:rsid w:val="005B75D1"/>
    <w:rsid w:val="005B7C69"/>
    <w:rsid w:val="005C15D8"/>
    <w:rsid w:val="005C1EAA"/>
    <w:rsid w:val="005C20E1"/>
    <w:rsid w:val="005C3D7C"/>
    <w:rsid w:val="005C50BA"/>
    <w:rsid w:val="005C558D"/>
    <w:rsid w:val="005C5BF7"/>
    <w:rsid w:val="005D05CA"/>
    <w:rsid w:val="005D0D8E"/>
    <w:rsid w:val="005D2D6B"/>
    <w:rsid w:val="005D3B07"/>
    <w:rsid w:val="005D5747"/>
    <w:rsid w:val="005D6C00"/>
    <w:rsid w:val="005D71FD"/>
    <w:rsid w:val="005F2204"/>
    <w:rsid w:val="005F2D90"/>
    <w:rsid w:val="0060332E"/>
    <w:rsid w:val="0061017C"/>
    <w:rsid w:val="0061292D"/>
    <w:rsid w:val="00612BE3"/>
    <w:rsid w:val="006136DE"/>
    <w:rsid w:val="0061732F"/>
    <w:rsid w:val="0061773A"/>
    <w:rsid w:val="00621CAA"/>
    <w:rsid w:val="006229E7"/>
    <w:rsid w:val="00623C7D"/>
    <w:rsid w:val="00626721"/>
    <w:rsid w:val="00627E1D"/>
    <w:rsid w:val="0063078E"/>
    <w:rsid w:val="0063172A"/>
    <w:rsid w:val="00637574"/>
    <w:rsid w:val="00641A1E"/>
    <w:rsid w:val="006438D1"/>
    <w:rsid w:val="00644423"/>
    <w:rsid w:val="0065393F"/>
    <w:rsid w:val="00656294"/>
    <w:rsid w:val="00656D3D"/>
    <w:rsid w:val="006575E1"/>
    <w:rsid w:val="00657792"/>
    <w:rsid w:val="00664F0D"/>
    <w:rsid w:val="006657B8"/>
    <w:rsid w:val="00666542"/>
    <w:rsid w:val="00667840"/>
    <w:rsid w:val="00675C8E"/>
    <w:rsid w:val="00682D7E"/>
    <w:rsid w:val="00685039"/>
    <w:rsid w:val="006851EC"/>
    <w:rsid w:val="006869B9"/>
    <w:rsid w:val="006877B8"/>
    <w:rsid w:val="00687814"/>
    <w:rsid w:val="0069510F"/>
    <w:rsid w:val="00696933"/>
    <w:rsid w:val="006A01CD"/>
    <w:rsid w:val="006A1BC5"/>
    <w:rsid w:val="006A341E"/>
    <w:rsid w:val="006A5745"/>
    <w:rsid w:val="006A698D"/>
    <w:rsid w:val="006A746B"/>
    <w:rsid w:val="006B1076"/>
    <w:rsid w:val="006B3303"/>
    <w:rsid w:val="006B5047"/>
    <w:rsid w:val="006B64A5"/>
    <w:rsid w:val="006B7B34"/>
    <w:rsid w:val="006C254F"/>
    <w:rsid w:val="006C2C96"/>
    <w:rsid w:val="006C463E"/>
    <w:rsid w:val="006C7AD5"/>
    <w:rsid w:val="006C7BFB"/>
    <w:rsid w:val="006D068B"/>
    <w:rsid w:val="006D1FD3"/>
    <w:rsid w:val="006D3468"/>
    <w:rsid w:val="006D3DA4"/>
    <w:rsid w:val="006D66EA"/>
    <w:rsid w:val="006E0CF4"/>
    <w:rsid w:val="006E0F40"/>
    <w:rsid w:val="006E19F4"/>
    <w:rsid w:val="006E277E"/>
    <w:rsid w:val="006E2E47"/>
    <w:rsid w:val="006E3637"/>
    <w:rsid w:val="006E7B8B"/>
    <w:rsid w:val="006F178F"/>
    <w:rsid w:val="006F1E80"/>
    <w:rsid w:val="006F6D8E"/>
    <w:rsid w:val="00700286"/>
    <w:rsid w:val="00700EBD"/>
    <w:rsid w:val="00703CF9"/>
    <w:rsid w:val="0070565C"/>
    <w:rsid w:val="00706D78"/>
    <w:rsid w:val="00707806"/>
    <w:rsid w:val="00714552"/>
    <w:rsid w:val="00714736"/>
    <w:rsid w:val="00717AE7"/>
    <w:rsid w:val="00721F90"/>
    <w:rsid w:val="00725277"/>
    <w:rsid w:val="00725804"/>
    <w:rsid w:val="00726B84"/>
    <w:rsid w:val="00727796"/>
    <w:rsid w:val="007349A8"/>
    <w:rsid w:val="00741CC7"/>
    <w:rsid w:val="007433CE"/>
    <w:rsid w:val="007451C8"/>
    <w:rsid w:val="00747089"/>
    <w:rsid w:val="00751526"/>
    <w:rsid w:val="00752D8C"/>
    <w:rsid w:val="00754177"/>
    <w:rsid w:val="00755219"/>
    <w:rsid w:val="00757D65"/>
    <w:rsid w:val="007603DC"/>
    <w:rsid w:val="007623B1"/>
    <w:rsid w:val="00764A89"/>
    <w:rsid w:val="00764E1A"/>
    <w:rsid w:val="007663F9"/>
    <w:rsid w:val="00766B8C"/>
    <w:rsid w:val="0077014E"/>
    <w:rsid w:val="00770BB3"/>
    <w:rsid w:val="00771938"/>
    <w:rsid w:val="0077220F"/>
    <w:rsid w:val="0077360E"/>
    <w:rsid w:val="00774DD7"/>
    <w:rsid w:val="00777505"/>
    <w:rsid w:val="007859C8"/>
    <w:rsid w:val="007878CF"/>
    <w:rsid w:val="007939F9"/>
    <w:rsid w:val="00793F0B"/>
    <w:rsid w:val="00797509"/>
    <w:rsid w:val="007A146C"/>
    <w:rsid w:val="007A3D34"/>
    <w:rsid w:val="007A6B27"/>
    <w:rsid w:val="007B0F2D"/>
    <w:rsid w:val="007B5E15"/>
    <w:rsid w:val="007B6B26"/>
    <w:rsid w:val="007C262E"/>
    <w:rsid w:val="007C4064"/>
    <w:rsid w:val="007C43CE"/>
    <w:rsid w:val="007D0505"/>
    <w:rsid w:val="007D65E9"/>
    <w:rsid w:val="007D7822"/>
    <w:rsid w:val="007E0F6E"/>
    <w:rsid w:val="007E2497"/>
    <w:rsid w:val="007E2851"/>
    <w:rsid w:val="007E3751"/>
    <w:rsid w:val="007E4ADC"/>
    <w:rsid w:val="007E5537"/>
    <w:rsid w:val="007E5F2A"/>
    <w:rsid w:val="007F11E2"/>
    <w:rsid w:val="007F3038"/>
    <w:rsid w:val="007F3636"/>
    <w:rsid w:val="007F472F"/>
    <w:rsid w:val="007F52C9"/>
    <w:rsid w:val="007F661B"/>
    <w:rsid w:val="008004A9"/>
    <w:rsid w:val="00804557"/>
    <w:rsid w:val="00804F16"/>
    <w:rsid w:val="008050B8"/>
    <w:rsid w:val="008107CD"/>
    <w:rsid w:val="00816323"/>
    <w:rsid w:val="0081645D"/>
    <w:rsid w:val="00823051"/>
    <w:rsid w:val="008231DC"/>
    <w:rsid w:val="00823F21"/>
    <w:rsid w:val="008252C8"/>
    <w:rsid w:val="00825EE6"/>
    <w:rsid w:val="008329F1"/>
    <w:rsid w:val="00833D25"/>
    <w:rsid w:val="00836B7F"/>
    <w:rsid w:val="008404D2"/>
    <w:rsid w:val="0084237A"/>
    <w:rsid w:val="00843592"/>
    <w:rsid w:val="00843D9B"/>
    <w:rsid w:val="008457F3"/>
    <w:rsid w:val="00845855"/>
    <w:rsid w:val="00845960"/>
    <w:rsid w:val="008541A9"/>
    <w:rsid w:val="00856923"/>
    <w:rsid w:val="008571F2"/>
    <w:rsid w:val="00857949"/>
    <w:rsid w:val="00857B26"/>
    <w:rsid w:val="0086031C"/>
    <w:rsid w:val="00860BA8"/>
    <w:rsid w:val="00861447"/>
    <w:rsid w:val="00861501"/>
    <w:rsid w:val="00861638"/>
    <w:rsid w:val="008618F1"/>
    <w:rsid w:val="00862ECA"/>
    <w:rsid w:val="008633BE"/>
    <w:rsid w:val="00866B91"/>
    <w:rsid w:val="00866CB5"/>
    <w:rsid w:val="008740AB"/>
    <w:rsid w:val="00874AF1"/>
    <w:rsid w:val="008765F7"/>
    <w:rsid w:val="00876BD2"/>
    <w:rsid w:val="00882F71"/>
    <w:rsid w:val="00886F1A"/>
    <w:rsid w:val="00890CDE"/>
    <w:rsid w:val="00892FCA"/>
    <w:rsid w:val="00894F6C"/>
    <w:rsid w:val="00895393"/>
    <w:rsid w:val="008975FA"/>
    <w:rsid w:val="008A06F3"/>
    <w:rsid w:val="008A0E6A"/>
    <w:rsid w:val="008A3B66"/>
    <w:rsid w:val="008A3E51"/>
    <w:rsid w:val="008A5D9F"/>
    <w:rsid w:val="008A64DA"/>
    <w:rsid w:val="008B0191"/>
    <w:rsid w:val="008B3667"/>
    <w:rsid w:val="008B3BFA"/>
    <w:rsid w:val="008B4807"/>
    <w:rsid w:val="008B5664"/>
    <w:rsid w:val="008C2601"/>
    <w:rsid w:val="008C2F6D"/>
    <w:rsid w:val="008C3ACC"/>
    <w:rsid w:val="008C612E"/>
    <w:rsid w:val="008C71FA"/>
    <w:rsid w:val="008D3EBC"/>
    <w:rsid w:val="008D4AB9"/>
    <w:rsid w:val="008D7FE0"/>
    <w:rsid w:val="008E016B"/>
    <w:rsid w:val="008E2959"/>
    <w:rsid w:val="008E3F7C"/>
    <w:rsid w:val="008E49FF"/>
    <w:rsid w:val="008F0ACC"/>
    <w:rsid w:val="008F3C91"/>
    <w:rsid w:val="008F47D5"/>
    <w:rsid w:val="008F57B9"/>
    <w:rsid w:val="008F5DDD"/>
    <w:rsid w:val="00901D75"/>
    <w:rsid w:val="00904148"/>
    <w:rsid w:val="009047B5"/>
    <w:rsid w:val="00906170"/>
    <w:rsid w:val="00906E5A"/>
    <w:rsid w:val="00907419"/>
    <w:rsid w:val="00910081"/>
    <w:rsid w:val="00910DC8"/>
    <w:rsid w:val="00911963"/>
    <w:rsid w:val="009123FD"/>
    <w:rsid w:val="009207BE"/>
    <w:rsid w:val="00921A8F"/>
    <w:rsid w:val="00921AE7"/>
    <w:rsid w:val="0092334D"/>
    <w:rsid w:val="00924806"/>
    <w:rsid w:val="00924C53"/>
    <w:rsid w:val="0092600E"/>
    <w:rsid w:val="009260D2"/>
    <w:rsid w:val="00930E73"/>
    <w:rsid w:val="00931D64"/>
    <w:rsid w:val="00935C5F"/>
    <w:rsid w:val="00945C57"/>
    <w:rsid w:val="00951C26"/>
    <w:rsid w:val="00954D18"/>
    <w:rsid w:val="00954D4A"/>
    <w:rsid w:val="00956207"/>
    <w:rsid w:val="0096183D"/>
    <w:rsid w:val="009618E7"/>
    <w:rsid w:val="00963F2E"/>
    <w:rsid w:val="00964AE8"/>
    <w:rsid w:val="009650A4"/>
    <w:rsid w:val="009661EF"/>
    <w:rsid w:val="00967CB7"/>
    <w:rsid w:val="00973834"/>
    <w:rsid w:val="009752DC"/>
    <w:rsid w:val="00975768"/>
    <w:rsid w:val="0098031F"/>
    <w:rsid w:val="0098664D"/>
    <w:rsid w:val="00992472"/>
    <w:rsid w:val="00992687"/>
    <w:rsid w:val="00992851"/>
    <w:rsid w:val="00993BFE"/>
    <w:rsid w:val="009947B1"/>
    <w:rsid w:val="00995258"/>
    <w:rsid w:val="00995FAE"/>
    <w:rsid w:val="009A140C"/>
    <w:rsid w:val="009A1D55"/>
    <w:rsid w:val="009A4912"/>
    <w:rsid w:val="009A70BA"/>
    <w:rsid w:val="009B03DD"/>
    <w:rsid w:val="009B043C"/>
    <w:rsid w:val="009B0609"/>
    <w:rsid w:val="009B220E"/>
    <w:rsid w:val="009B4331"/>
    <w:rsid w:val="009C0B37"/>
    <w:rsid w:val="009C47CA"/>
    <w:rsid w:val="009D1361"/>
    <w:rsid w:val="009D1431"/>
    <w:rsid w:val="009D186B"/>
    <w:rsid w:val="009D4C83"/>
    <w:rsid w:val="009D5CDE"/>
    <w:rsid w:val="009D724D"/>
    <w:rsid w:val="009D7599"/>
    <w:rsid w:val="009E35E7"/>
    <w:rsid w:val="009E4331"/>
    <w:rsid w:val="009E57FA"/>
    <w:rsid w:val="009E7ADF"/>
    <w:rsid w:val="009F27E8"/>
    <w:rsid w:val="009F3F87"/>
    <w:rsid w:val="00A0281A"/>
    <w:rsid w:val="00A02D6F"/>
    <w:rsid w:val="00A051D7"/>
    <w:rsid w:val="00A06A72"/>
    <w:rsid w:val="00A117E8"/>
    <w:rsid w:val="00A118FB"/>
    <w:rsid w:val="00A176E1"/>
    <w:rsid w:val="00A213BB"/>
    <w:rsid w:val="00A248C2"/>
    <w:rsid w:val="00A341BE"/>
    <w:rsid w:val="00A34E62"/>
    <w:rsid w:val="00A3535A"/>
    <w:rsid w:val="00A35734"/>
    <w:rsid w:val="00A372A1"/>
    <w:rsid w:val="00A373DC"/>
    <w:rsid w:val="00A408C8"/>
    <w:rsid w:val="00A4166D"/>
    <w:rsid w:val="00A44DB8"/>
    <w:rsid w:val="00A47849"/>
    <w:rsid w:val="00A53538"/>
    <w:rsid w:val="00A5472F"/>
    <w:rsid w:val="00A5598F"/>
    <w:rsid w:val="00A571B3"/>
    <w:rsid w:val="00A57B59"/>
    <w:rsid w:val="00A606F2"/>
    <w:rsid w:val="00A6142B"/>
    <w:rsid w:val="00A6142D"/>
    <w:rsid w:val="00A62B69"/>
    <w:rsid w:val="00A67F12"/>
    <w:rsid w:val="00A71BB4"/>
    <w:rsid w:val="00A74538"/>
    <w:rsid w:val="00A81060"/>
    <w:rsid w:val="00A83B45"/>
    <w:rsid w:val="00A83C65"/>
    <w:rsid w:val="00A85364"/>
    <w:rsid w:val="00A85ED6"/>
    <w:rsid w:val="00A93FAB"/>
    <w:rsid w:val="00A95897"/>
    <w:rsid w:val="00A96A99"/>
    <w:rsid w:val="00AA3541"/>
    <w:rsid w:val="00AA5775"/>
    <w:rsid w:val="00AA6458"/>
    <w:rsid w:val="00AA789D"/>
    <w:rsid w:val="00AB18C0"/>
    <w:rsid w:val="00AB2AEE"/>
    <w:rsid w:val="00AB3A57"/>
    <w:rsid w:val="00AC29C3"/>
    <w:rsid w:val="00AC562C"/>
    <w:rsid w:val="00AD0927"/>
    <w:rsid w:val="00AD1F5B"/>
    <w:rsid w:val="00AD2B2E"/>
    <w:rsid w:val="00AD3A0C"/>
    <w:rsid w:val="00AD4D3E"/>
    <w:rsid w:val="00AD54A6"/>
    <w:rsid w:val="00AD5C6F"/>
    <w:rsid w:val="00AD5D6F"/>
    <w:rsid w:val="00AD6A01"/>
    <w:rsid w:val="00AD70E6"/>
    <w:rsid w:val="00AE0867"/>
    <w:rsid w:val="00AE2590"/>
    <w:rsid w:val="00AE2B71"/>
    <w:rsid w:val="00AE52BB"/>
    <w:rsid w:val="00AE53AC"/>
    <w:rsid w:val="00AF0EE2"/>
    <w:rsid w:val="00AF21D3"/>
    <w:rsid w:val="00AF596F"/>
    <w:rsid w:val="00AF7893"/>
    <w:rsid w:val="00B01E1A"/>
    <w:rsid w:val="00B030FC"/>
    <w:rsid w:val="00B04A7D"/>
    <w:rsid w:val="00B11F2D"/>
    <w:rsid w:val="00B1265C"/>
    <w:rsid w:val="00B162C3"/>
    <w:rsid w:val="00B1777B"/>
    <w:rsid w:val="00B17ACE"/>
    <w:rsid w:val="00B21D9B"/>
    <w:rsid w:val="00B225FF"/>
    <w:rsid w:val="00B24F22"/>
    <w:rsid w:val="00B25B86"/>
    <w:rsid w:val="00B25BE3"/>
    <w:rsid w:val="00B26009"/>
    <w:rsid w:val="00B270C1"/>
    <w:rsid w:val="00B32506"/>
    <w:rsid w:val="00B346E2"/>
    <w:rsid w:val="00B35C93"/>
    <w:rsid w:val="00B4395C"/>
    <w:rsid w:val="00B52A79"/>
    <w:rsid w:val="00B639EE"/>
    <w:rsid w:val="00B64800"/>
    <w:rsid w:val="00B701D2"/>
    <w:rsid w:val="00B722B1"/>
    <w:rsid w:val="00B74371"/>
    <w:rsid w:val="00B75EC2"/>
    <w:rsid w:val="00B808A8"/>
    <w:rsid w:val="00B82351"/>
    <w:rsid w:val="00B84DE4"/>
    <w:rsid w:val="00B870F9"/>
    <w:rsid w:val="00B87805"/>
    <w:rsid w:val="00B907E8"/>
    <w:rsid w:val="00B91F38"/>
    <w:rsid w:val="00B92ADC"/>
    <w:rsid w:val="00B9372F"/>
    <w:rsid w:val="00B953D8"/>
    <w:rsid w:val="00B95B9C"/>
    <w:rsid w:val="00BA0755"/>
    <w:rsid w:val="00BA3CBE"/>
    <w:rsid w:val="00BA400F"/>
    <w:rsid w:val="00BA4ABF"/>
    <w:rsid w:val="00BA4AE2"/>
    <w:rsid w:val="00BA4F35"/>
    <w:rsid w:val="00BA72A8"/>
    <w:rsid w:val="00BA77F7"/>
    <w:rsid w:val="00BB093D"/>
    <w:rsid w:val="00BB18C9"/>
    <w:rsid w:val="00BB29C1"/>
    <w:rsid w:val="00BB54A9"/>
    <w:rsid w:val="00BB58E5"/>
    <w:rsid w:val="00BC1756"/>
    <w:rsid w:val="00BC1DAC"/>
    <w:rsid w:val="00BC42FC"/>
    <w:rsid w:val="00BC7B7B"/>
    <w:rsid w:val="00BE3591"/>
    <w:rsid w:val="00BE537F"/>
    <w:rsid w:val="00BF1DB5"/>
    <w:rsid w:val="00BF4442"/>
    <w:rsid w:val="00BF78A7"/>
    <w:rsid w:val="00C002FC"/>
    <w:rsid w:val="00C00432"/>
    <w:rsid w:val="00C00492"/>
    <w:rsid w:val="00C0058A"/>
    <w:rsid w:val="00C03974"/>
    <w:rsid w:val="00C061E7"/>
    <w:rsid w:val="00C07282"/>
    <w:rsid w:val="00C07DE2"/>
    <w:rsid w:val="00C13170"/>
    <w:rsid w:val="00C168F4"/>
    <w:rsid w:val="00C170F4"/>
    <w:rsid w:val="00C20307"/>
    <w:rsid w:val="00C23EB5"/>
    <w:rsid w:val="00C240F2"/>
    <w:rsid w:val="00C250C6"/>
    <w:rsid w:val="00C2530B"/>
    <w:rsid w:val="00C26BCC"/>
    <w:rsid w:val="00C33D74"/>
    <w:rsid w:val="00C3402B"/>
    <w:rsid w:val="00C41331"/>
    <w:rsid w:val="00C41786"/>
    <w:rsid w:val="00C46FB4"/>
    <w:rsid w:val="00C47087"/>
    <w:rsid w:val="00C47EC0"/>
    <w:rsid w:val="00C5090A"/>
    <w:rsid w:val="00C5456C"/>
    <w:rsid w:val="00C54788"/>
    <w:rsid w:val="00C64E7D"/>
    <w:rsid w:val="00C67152"/>
    <w:rsid w:val="00C674C6"/>
    <w:rsid w:val="00C67801"/>
    <w:rsid w:val="00C67DF7"/>
    <w:rsid w:val="00C70809"/>
    <w:rsid w:val="00C718C9"/>
    <w:rsid w:val="00C74E97"/>
    <w:rsid w:val="00C75038"/>
    <w:rsid w:val="00C76BED"/>
    <w:rsid w:val="00C84EEC"/>
    <w:rsid w:val="00C90158"/>
    <w:rsid w:val="00C90EE2"/>
    <w:rsid w:val="00C91B34"/>
    <w:rsid w:val="00C9227A"/>
    <w:rsid w:val="00C93AEC"/>
    <w:rsid w:val="00C94A93"/>
    <w:rsid w:val="00C94BF1"/>
    <w:rsid w:val="00C9567E"/>
    <w:rsid w:val="00C95AB5"/>
    <w:rsid w:val="00C96B06"/>
    <w:rsid w:val="00C9743B"/>
    <w:rsid w:val="00CA0308"/>
    <w:rsid w:val="00CA28DF"/>
    <w:rsid w:val="00CA30D6"/>
    <w:rsid w:val="00CA3E59"/>
    <w:rsid w:val="00CB0C1F"/>
    <w:rsid w:val="00CB1A8F"/>
    <w:rsid w:val="00CB1CA2"/>
    <w:rsid w:val="00CB1EA8"/>
    <w:rsid w:val="00CB7FF6"/>
    <w:rsid w:val="00CC457F"/>
    <w:rsid w:val="00CC61B8"/>
    <w:rsid w:val="00CC6A83"/>
    <w:rsid w:val="00CD2271"/>
    <w:rsid w:val="00CD31FC"/>
    <w:rsid w:val="00CD3A6C"/>
    <w:rsid w:val="00CD7982"/>
    <w:rsid w:val="00CE089C"/>
    <w:rsid w:val="00CE4E6E"/>
    <w:rsid w:val="00CE51E3"/>
    <w:rsid w:val="00CE6D32"/>
    <w:rsid w:val="00CE77D6"/>
    <w:rsid w:val="00CF034D"/>
    <w:rsid w:val="00CF1AAB"/>
    <w:rsid w:val="00CF1BF8"/>
    <w:rsid w:val="00CF3769"/>
    <w:rsid w:val="00CF42A4"/>
    <w:rsid w:val="00D01EF9"/>
    <w:rsid w:val="00D02892"/>
    <w:rsid w:val="00D02D51"/>
    <w:rsid w:val="00D04430"/>
    <w:rsid w:val="00D05494"/>
    <w:rsid w:val="00D07D23"/>
    <w:rsid w:val="00D1038A"/>
    <w:rsid w:val="00D10DAE"/>
    <w:rsid w:val="00D11B3D"/>
    <w:rsid w:val="00D1367A"/>
    <w:rsid w:val="00D157C6"/>
    <w:rsid w:val="00D17982"/>
    <w:rsid w:val="00D2289E"/>
    <w:rsid w:val="00D22B94"/>
    <w:rsid w:val="00D22C52"/>
    <w:rsid w:val="00D27C28"/>
    <w:rsid w:val="00D33B70"/>
    <w:rsid w:val="00D40ED7"/>
    <w:rsid w:val="00D45845"/>
    <w:rsid w:val="00D53ACE"/>
    <w:rsid w:val="00D6042B"/>
    <w:rsid w:val="00D6179E"/>
    <w:rsid w:val="00D626BB"/>
    <w:rsid w:val="00D6694D"/>
    <w:rsid w:val="00D67566"/>
    <w:rsid w:val="00D67F29"/>
    <w:rsid w:val="00D70CC3"/>
    <w:rsid w:val="00D75358"/>
    <w:rsid w:val="00D7615F"/>
    <w:rsid w:val="00D80CDE"/>
    <w:rsid w:val="00D85A27"/>
    <w:rsid w:val="00D86227"/>
    <w:rsid w:val="00D863B4"/>
    <w:rsid w:val="00D863D9"/>
    <w:rsid w:val="00D8798C"/>
    <w:rsid w:val="00D928A1"/>
    <w:rsid w:val="00D96055"/>
    <w:rsid w:val="00DB0B6A"/>
    <w:rsid w:val="00DB10FE"/>
    <w:rsid w:val="00DB4D8C"/>
    <w:rsid w:val="00DB6174"/>
    <w:rsid w:val="00DB6335"/>
    <w:rsid w:val="00DB72A8"/>
    <w:rsid w:val="00DC2335"/>
    <w:rsid w:val="00DC652B"/>
    <w:rsid w:val="00DD6336"/>
    <w:rsid w:val="00DD6D65"/>
    <w:rsid w:val="00DD75D9"/>
    <w:rsid w:val="00DE155B"/>
    <w:rsid w:val="00DE1AC4"/>
    <w:rsid w:val="00DE2C7C"/>
    <w:rsid w:val="00DE39C3"/>
    <w:rsid w:val="00DE50E0"/>
    <w:rsid w:val="00DE5956"/>
    <w:rsid w:val="00DF5107"/>
    <w:rsid w:val="00E00609"/>
    <w:rsid w:val="00E015EE"/>
    <w:rsid w:val="00E0290E"/>
    <w:rsid w:val="00E112A1"/>
    <w:rsid w:val="00E1492F"/>
    <w:rsid w:val="00E20846"/>
    <w:rsid w:val="00E23453"/>
    <w:rsid w:val="00E27D80"/>
    <w:rsid w:val="00E31A59"/>
    <w:rsid w:val="00E31AD8"/>
    <w:rsid w:val="00E32C27"/>
    <w:rsid w:val="00E3723C"/>
    <w:rsid w:val="00E431AE"/>
    <w:rsid w:val="00E43F54"/>
    <w:rsid w:val="00E53821"/>
    <w:rsid w:val="00E558A5"/>
    <w:rsid w:val="00E576E2"/>
    <w:rsid w:val="00E57C23"/>
    <w:rsid w:val="00E60C1A"/>
    <w:rsid w:val="00E61F04"/>
    <w:rsid w:val="00E62657"/>
    <w:rsid w:val="00E627EE"/>
    <w:rsid w:val="00E67765"/>
    <w:rsid w:val="00E70EBB"/>
    <w:rsid w:val="00E72427"/>
    <w:rsid w:val="00E73194"/>
    <w:rsid w:val="00E748B9"/>
    <w:rsid w:val="00E77098"/>
    <w:rsid w:val="00E81788"/>
    <w:rsid w:val="00E81B85"/>
    <w:rsid w:val="00E82466"/>
    <w:rsid w:val="00E83FFD"/>
    <w:rsid w:val="00E85FA0"/>
    <w:rsid w:val="00E86DEF"/>
    <w:rsid w:val="00E873CA"/>
    <w:rsid w:val="00E87F14"/>
    <w:rsid w:val="00E90197"/>
    <w:rsid w:val="00E903B6"/>
    <w:rsid w:val="00E91745"/>
    <w:rsid w:val="00E92FD5"/>
    <w:rsid w:val="00E96828"/>
    <w:rsid w:val="00E96A3D"/>
    <w:rsid w:val="00E9781F"/>
    <w:rsid w:val="00EA021F"/>
    <w:rsid w:val="00EA2512"/>
    <w:rsid w:val="00EA304C"/>
    <w:rsid w:val="00EA77C4"/>
    <w:rsid w:val="00EB1096"/>
    <w:rsid w:val="00EB3A0D"/>
    <w:rsid w:val="00EB41EE"/>
    <w:rsid w:val="00EB5730"/>
    <w:rsid w:val="00EB6FEA"/>
    <w:rsid w:val="00EB7CFC"/>
    <w:rsid w:val="00EC3A66"/>
    <w:rsid w:val="00EC421E"/>
    <w:rsid w:val="00EC4D4C"/>
    <w:rsid w:val="00ED00D7"/>
    <w:rsid w:val="00EE1805"/>
    <w:rsid w:val="00EE3B8D"/>
    <w:rsid w:val="00EE4A48"/>
    <w:rsid w:val="00EF26F0"/>
    <w:rsid w:val="00EF7F42"/>
    <w:rsid w:val="00F04F8A"/>
    <w:rsid w:val="00F12F8E"/>
    <w:rsid w:val="00F13F67"/>
    <w:rsid w:val="00F24F74"/>
    <w:rsid w:val="00F26A26"/>
    <w:rsid w:val="00F27495"/>
    <w:rsid w:val="00F36718"/>
    <w:rsid w:val="00F42F27"/>
    <w:rsid w:val="00F445FF"/>
    <w:rsid w:val="00F474C0"/>
    <w:rsid w:val="00F47825"/>
    <w:rsid w:val="00F5044C"/>
    <w:rsid w:val="00F51799"/>
    <w:rsid w:val="00F51D8F"/>
    <w:rsid w:val="00F53A98"/>
    <w:rsid w:val="00F625D8"/>
    <w:rsid w:val="00F62732"/>
    <w:rsid w:val="00F650E1"/>
    <w:rsid w:val="00F66C7E"/>
    <w:rsid w:val="00F72D9E"/>
    <w:rsid w:val="00F745F3"/>
    <w:rsid w:val="00F770AE"/>
    <w:rsid w:val="00F83163"/>
    <w:rsid w:val="00F8355B"/>
    <w:rsid w:val="00F84CEE"/>
    <w:rsid w:val="00F87702"/>
    <w:rsid w:val="00F87C5A"/>
    <w:rsid w:val="00F94020"/>
    <w:rsid w:val="00F94E8C"/>
    <w:rsid w:val="00FA115B"/>
    <w:rsid w:val="00FA172D"/>
    <w:rsid w:val="00FA2BEF"/>
    <w:rsid w:val="00FA5522"/>
    <w:rsid w:val="00FA66CE"/>
    <w:rsid w:val="00FA6B9C"/>
    <w:rsid w:val="00FB011F"/>
    <w:rsid w:val="00FB154B"/>
    <w:rsid w:val="00FB26E4"/>
    <w:rsid w:val="00FB2B2B"/>
    <w:rsid w:val="00FB3643"/>
    <w:rsid w:val="00FB7250"/>
    <w:rsid w:val="00FC1EF7"/>
    <w:rsid w:val="00FC4071"/>
    <w:rsid w:val="00FC6319"/>
    <w:rsid w:val="00FC66C3"/>
    <w:rsid w:val="00FC7FB3"/>
    <w:rsid w:val="00FD018B"/>
    <w:rsid w:val="00FD2306"/>
    <w:rsid w:val="00FD6553"/>
    <w:rsid w:val="00FD657D"/>
    <w:rsid w:val="00FE1A74"/>
    <w:rsid w:val="00FE1C0E"/>
    <w:rsid w:val="00FE551B"/>
    <w:rsid w:val="00FF0E93"/>
    <w:rsid w:val="00FF66DC"/>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11</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1848</cp:revision>
  <dcterms:created xsi:type="dcterms:W3CDTF">2016-04-01T18:29:00Z</dcterms:created>
  <dcterms:modified xsi:type="dcterms:W3CDTF">2016-04-02T23:48:00Z</dcterms:modified>
</cp:coreProperties>
</file>