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painting, which experts believe </w:t>
      </w:r>
      <w:r w:rsidR="007430BE">
        <w:t>is worth</w:t>
      </w:r>
      <w:r w:rsidRPr="00320F0A">
        <w:t xml:space="preserve"> $5 million</w:t>
      </w:r>
      <w:r>
        <w:t xml:space="preserve"> based on its medium, artist, </w:t>
      </w:r>
      <w:r w:rsidR="00166A96">
        <w:t xml:space="preserve">and </w:t>
      </w:r>
      <w:r w:rsidR="009D1959">
        <w:t>authenticity</w:t>
      </w:r>
      <w:r w:rsidRPr="00320F0A">
        <w:t>.</w:t>
      </w:r>
      <w:r w:rsidR="008363AF">
        <w:t xml:space="preserve"> However, y</w:t>
      </w:r>
      <w:r w:rsidR="005F7F9A">
        <w:t xml:space="preserve">ou personally 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A10AE1">
        <w:t xml:space="preserve">sold for $10 million last week. </w:t>
      </w:r>
      <w:r w:rsidR="00FC3568">
        <w:t xml:space="preserve">With that number in mind, </w:t>
      </w:r>
      <w:r w:rsidR="00123590">
        <w:t xml:space="preserve">you </w:t>
      </w:r>
      <w:r w:rsidR="00FA3E23">
        <w:t xml:space="preserve">start to believe the Monet is </w:t>
      </w:r>
      <w:r w:rsidR="00DB383B">
        <w:t>also worth $10 million</w:t>
      </w:r>
      <w:r w:rsidR="00E012EB">
        <w:t xml:space="preserve"> – and this </w:t>
      </w:r>
      <w:r w:rsidR="00B654D4">
        <w:t>affects</w:t>
      </w:r>
      <w:r w:rsidR="00E012EB">
        <w:t xml:space="preserve"> how you </w:t>
      </w:r>
      <w:r w:rsidR="0006028C">
        <w:t xml:space="preserve">bid </w:t>
      </w:r>
      <w:r w:rsidR="0039642C">
        <w:t>after</w:t>
      </w:r>
      <w:r w:rsidR="0006028C">
        <w:t xml:space="preserve"> you get to Christie’s</w:t>
      </w:r>
      <w:r w:rsidR="00AC6719">
        <w:t>.</w:t>
      </w:r>
    </w:p>
    <w:p w:rsidR="00BB12F3" w:rsidRDefault="007F2753" w:rsidP="00416AA5">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Tversky &amp; Kahneman</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691324">
        <w:t>umbers first,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172EB9">
        <w:t xml:space="preserve">higher numbers, and give a </w:t>
      </w:r>
      <w:r w:rsidR="00ED6D24">
        <w:t xml:space="preserve">much higher </w:t>
      </w:r>
      <w:r w:rsidR="00172EB9">
        <w:t>median estimate of 2250</w:t>
      </w:r>
      <w:r w:rsidR="0047047F">
        <w:t>.</w:t>
      </w:r>
      <w:r w:rsidR="003C5218">
        <w:t xml:space="preserve"> </w:t>
      </w:r>
      <w:r w:rsidR="00E10A07">
        <w:t>Thus, f</w:t>
      </w:r>
      <w:r w:rsidR="0078234D">
        <w:t xml:space="preserve">irst (quantitative) impressions do seem to </w:t>
      </w:r>
      <w:r w:rsidR="00D14433">
        <w:t>affect</w:t>
      </w:r>
      <w:r w:rsidR="002232E8">
        <w:t xml:space="preserve"> judgement.</w:t>
      </w:r>
    </w:p>
    <w:p w:rsidR="007F2753" w:rsidRDefault="007F2753" w:rsidP="009062BB">
      <w:pPr>
        <w:spacing w:line="480" w:lineRule="auto"/>
        <w:jc w:val="both"/>
      </w:pPr>
      <w:r w:rsidRPr="00320F0A">
        <w:lastRenderedPageBreak/>
        <w:t>This bias</w:t>
      </w:r>
      <w:r>
        <w:t xml:space="preserve"> appears in</w:t>
      </w:r>
      <w:r w:rsidRPr="00320F0A">
        <w:t xml:space="preserve"> the fine art auction market, which in 2014 enjoyed a sales volume of £5.1 billion (</w:t>
      </w:r>
      <w:r w:rsidR="00841C40">
        <w:t>approx..</w:t>
      </w:r>
      <w:r w:rsidRPr="00320F0A">
        <w:t xml:space="preserve"> $7.35 billion in today’s exchange rate)</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are the first to formally study anchoring in the context of art auctions, </w:t>
      </w:r>
      <w:r w:rsidR="00E83357">
        <w:t>describing</w:t>
      </w:r>
      <w:r>
        <w:t xml:space="preserve"> it as follows. First, the</w:t>
      </w:r>
      <w:r w:rsidR="000B2AE2">
        <w:t xml:space="preserve"> </w:t>
      </w:r>
      <w:r w:rsidR="007E6453">
        <w:t xml:space="preserve">true </w:t>
      </w:r>
      <w:r w:rsidR="00F620A9">
        <w:t>(hedonic)</w:t>
      </w:r>
      <w:r w:rsidR="00ED764D">
        <w:t xml:space="preserve"> </w:t>
      </w:r>
      <w:r>
        <w:t>value of a</w:t>
      </w:r>
      <w:r w:rsidR="00DC1BBE">
        <w:t>n art piece, say a</w:t>
      </w:r>
      <w:r>
        <w:t xml:space="preserve"> painting</w:t>
      </w:r>
      <w:r w:rsidR="00DC1BBE">
        <w:t>,</w:t>
      </w:r>
      <w:r>
        <w:t xml:space="preserve"> is determined by its hedonic characteristics: the artist, the medium, the presence of authenticity, and so forth. These</w:t>
      </w:r>
      <w:r w:rsidR="006A1817">
        <w:t xml:space="preserve"> </w:t>
      </w:r>
      <w:r w:rsidR="009964B5">
        <w:t>hedonic</w:t>
      </w:r>
      <w:r>
        <w:t xml:space="preserve"> </w:t>
      </w:r>
      <w:r w:rsidR="003F2D26">
        <w:t>qualities</w:t>
      </w:r>
      <w:r>
        <w:t xml:space="preserve"> do not change over time, which means buyers should pay based on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features. </w:t>
      </w:r>
      <w:r>
        <w:t xml:space="preserve">If however, buyers learn the painting previously sold for a very high price, they may internalize that </w:t>
      </w:r>
      <w:r w:rsidR="00452336">
        <w:t xml:space="preserve">previous price </w:t>
      </w:r>
      <w:r w:rsidR="00FC58D2">
        <w:t>as a reference point (the anchor</w:t>
      </w:r>
      <w:r>
        <w:t xml:space="preserve">) and drive up </w:t>
      </w:r>
      <w:r w:rsidR="00587469">
        <w:t xml:space="preserve">the current </w:t>
      </w:r>
      <w:r w:rsidR="003B32F5">
        <w:t>price even mor</w:t>
      </w:r>
      <w:r w:rsidR="002F2C7C">
        <w:t xml:space="preserve">e. </w:t>
      </w:r>
      <w:r w:rsidR="00AF7E0A">
        <w:t xml:space="preserve">However, </w:t>
      </w:r>
      <w:r w:rsidR="00065AB5">
        <w:t xml:space="preserve">past price </w:t>
      </w:r>
      <w:r w:rsidR="008A2A1B">
        <w:t>is</w:t>
      </w:r>
      <w:r w:rsidR="009E0415">
        <w:t xml:space="preserve"> an irrelevant signal</w:t>
      </w:r>
      <w:r w:rsidR="00BF577D">
        <w:t>. S</w:t>
      </w:r>
      <w:r w:rsidR="0054060D">
        <w:t>ince</w:t>
      </w:r>
      <w:r w:rsidR="00996F2A">
        <w:t xml:space="preserve"> the </w:t>
      </w:r>
      <w:r w:rsidR="00D84DFD">
        <w:t xml:space="preserve">painting’s </w:t>
      </w:r>
      <w:r w:rsidR="00893DD8">
        <w:t>true</w:t>
      </w:r>
      <w:r w:rsidR="003C2844">
        <w:t xml:space="preserve"> </w:t>
      </w:r>
      <w:r w:rsidR="00893DD8">
        <w:t>value</w:t>
      </w:r>
      <w:r w:rsidR="003D6D7A">
        <w:t xml:space="preserve"> is already controlled</w:t>
      </w:r>
      <w:r w:rsidR="000913E0">
        <w:t xml:space="preserve"> for</w:t>
      </w:r>
      <w:r w:rsidR="00F00AB5">
        <w:t xml:space="preserve"> here</w:t>
      </w:r>
      <w:r w:rsidR="00286750">
        <w:t>, t</w:t>
      </w:r>
      <w:r w:rsidR="003C2DD6">
        <w:t>he only re</w:t>
      </w:r>
      <w:r w:rsidR="00141E38">
        <w:t xml:space="preserve">maining components </w:t>
      </w:r>
      <w:r w:rsidR="00CB1D21">
        <w:t>of past price</w:t>
      </w:r>
      <w:r w:rsidR="00214B3C">
        <w:t xml:space="preserve"> </w:t>
      </w:r>
      <w:r w:rsidR="00773AE7">
        <w:t xml:space="preserve">are </w:t>
      </w:r>
      <w:r w:rsidR="003835D4">
        <w:t>past</w:t>
      </w:r>
      <w:r w:rsidR="00F27F92">
        <w:t xml:space="preserve"> bidding activity and other intangible </w:t>
      </w:r>
      <w:r w:rsidR="003B6C72">
        <w:t xml:space="preserve">inputs into </w:t>
      </w:r>
      <w:r w:rsidR="00662A12">
        <w:t xml:space="preserve">past </w:t>
      </w:r>
      <w:r w:rsidR="003B6C72">
        <w:t>price,</w:t>
      </w:r>
      <w:r w:rsidR="007B1F13">
        <w:t xml:space="preserve"> which are </w:t>
      </w:r>
      <w:r w:rsidR="006B380C">
        <w:t xml:space="preserve">not informative </w:t>
      </w:r>
      <w:r w:rsidR="00E61FC0">
        <w:t>to the painting’s true value.</w:t>
      </w:r>
      <w:r w:rsidR="00D75742">
        <w:t xml:space="preserve"> Thus,</w:t>
      </w:r>
      <w:r w:rsidR="00522F61">
        <w:t xml:space="preserve"> the impact of past price</w:t>
      </w:r>
      <w:r>
        <w:t xml:space="preserve"> on current price </w:t>
      </w:r>
      <w:r w:rsidR="00A93FD3">
        <w:t xml:space="preserve">– given </w:t>
      </w:r>
      <w:r w:rsidR="00EE438C">
        <w:t xml:space="preserve">we control for the painting’s </w:t>
      </w:r>
      <w:r w:rsidR="00F014EF">
        <w:t>true value</w:t>
      </w:r>
      <w:r w:rsidR="00B440B9">
        <w:t xml:space="preserve"> – </w:t>
      </w:r>
      <w:r>
        <w:t xml:space="preserve">can thus be interpreted as an anchoring </w:t>
      </w:r>
      <w:r w:rsidR="00B33A26">
        <w:t>bias</w:t>
      </w:r>
      <w:r>
        <w:t>.</w:t>
      </w:r>
      <w:r w:rsidRPr="00AE50CD">
        <w:t xml:space="preserve"> </w:t>
      </w:r>
      <w:r w:rsidR="00607E1A">
        <w:t xml:space="preserve">As a </w:t>
      </w:r>
      <w:r w:rsidR="00CF1E8E">
        <w:t>additional</w:t>
      </w:r>
      <w:bookmarkStart w:id="0" w:name="_GoBack"/>
      <w:bookmarkEnd w:id="0"/>
      <w:r w:rsidR="00607E1A">
        <w:t xml:space="preserve"> note, </w:t>
      </w:r>
      <w:r>
        <w:t>the exact behavioral mechanism by which auction participants inter</w:t>
      </w:r>
      <w:r w:rsidR="008F7E66">
        <w:t>nalize and act upon past price</w:t>
      </w:r>
      <w:r w:rsidR="0013157A">
        <w:t xml:space="preserve"> </w:t>
      </w:r>
      <w:r>
        <w:t xml:space="preserve">cannot be inferred from just observing prices. Hence in our research and in much of our surveyed literature, including Beggs &amp; Graddy (2009), the process is treated as a black box. The mere observation of past price </w:t>
      </w:r>
      <w:r>
        <w:lastRenderedPageBreak/>
        <w:t xml:space="preserve">biasing current price suffices for our definition of anchoring (discussed further in Section 5). </w:t>
      </w:r>
    </w:p>
    <w:p w:rsidR="007F2753" w:rsidRDefault="007F2753" w:rsidP="007F2753">
      <w:pPr>
        <w:spacing w:line="480" w:lineRule="auto"/>
        <w:jc w:val="both"/>
      </w:pPr>
      <w:r>
        <w:t xml:space="preserve">Using a regression model that isolates this phenomenon, Beggs &amp; Graddy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w:t>
      </w:r>
      <w:r w:rsidR="00DE238D">
        <w:t>never been brought to auction. Moreover, e</w:t>
      </w:r>
      <w:r>
        <w:t>ven in practice, it turns out that auction specialists not only appraise an art piece based on its previous sales, but also on sales of related art pieces</w:t>
      </w:r>
      <w:r>
        <w:rPr>
          <w:rStyle w:val="FootnoteReference"/>
        </w:rPr>
        <w:footnoteReference w:id="3"/>
      </w:r>
      <w:r>
        <w:t xml:space="preserve">. Hence, the anchoring research of Beggs &amp; Graddy (2009) seems to be somewhat limited in </w:t>
      </w:r>
      <w:r w:rsidR="000F2729">
        <w:t>its</w:t>
      </w:r>
      <w:r>
        <w:t xml:space="preserve"> analysis and application. </w:t>
      </w:r>
    </w:p>
    <w:p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 xml:space="preserve">f a similar piece by Van Gogh. To </w:t>
      </w:r>
      <w:r w:rsidR="00DF760A">
        <w:t xml:space="preserve">show we understand the original </w:t>
      </w:r>
      <w:r w:rsidR="00373B8B">
        <w:t xml:space="preserve">anchoring </w:t>
      </w:r>
      <w:r w:rsidR="00DF760A">
        <w:t>model of Beggs &amp; Graddy (2009)</w:t>
      </w:r>
      <w:r w:rsidR="00F5100C">
        <w:t>, w</w:t>
      </w:r>
      <w:r>
        <w:t xml:space="preserve">e begin by successfully replicating </w:t>
      </w:r>
      <w:r w:rsidR="00C67974">
        <w:t>their</w:t>
      </w:r>
      <w:r>
        <w:t xml:space="preserve"> general anchoring findings. Next, we introduce</w:t>
      </w:r>
      <w:r w:rsidR="00624CA5">
        <w:t xml:space="preserve"> our</w:t>
      </w:r>
      <w:r>
        <w:t xml:space="preserve"> expanded version of </w:t>
      </w:r>
      <w:r w:rsidR="00D26092">
        <w:t xml:space="preserve">their </w:t>
      </w:r>
      <w:r w:rsidR="001938E7">
        <w:t>model</w:t>
      </w:r>
      <w:r w:rsidR="00624CA5">
        <w:t>, which</w:t>
      </w:r>
      <w:r>
        <w:t xml:space="preserve"> controls for similarity across pieces and allows us to detect anchoring cross-effects. As part of this regression model, we introduce two measures to quantity similarity </w:t>
      </w:r>
      <w:r>
        <w:lastRenderedPageBreak/>
        <w:t>between art pieces. Our data includes two datasets of Impressionist and Contemporary art that are often used in the econometric literature on art auctions, and a new dataset of assorted art sales (2006-2015) collected by us specifical</w:t>
      </w:r>
      <w:r w:rsidR="00597896">
        <w:t>ly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 pairs of </w:t>
      </w:r>
      <w:r w:rsidR="00E73828">
        <w:t>artists</w:t>
      </w:r>
      <w:r w:rsidR="0025436E">
        <w:t xml:space="preserve"> identified as similar</w:t>
      </w:r>
      <w:r w:rsidR="00DD41AD">
        <w:t xml:space="preserve">: Joan Miro &amp; </w:t>
      </w:r>
      <w:r>
        <w:t>Salvador Dali, Pablo Picasso/</w:t>
      </w:r>
      <w:r w:rsidR="00DD41AD">
        <w:t xml:space="preserve"> &amp; Marc Chagall, and Edvard Munch &amp; </w:t>
      </w:r>
      <w:r>
        <w:t xml:space="preserve">Henri de Toulouse-Lautrec. We find the strongest and most significant evidence of anchoring cross-effects between </w:t>
      </w:r>
      <w:r w:rsidR="009B4CC4">
        <w:t xml:space="preserve">works by </w:t>
      </w:r>
      <w:r>
        <w:t xml:space="preserve">Picasso and Chagall. </w:t>
      </w:r>
    </w:p>
    <w:p w:rsidR="007F2753" w:rsidRDefault="007F2753" w:rsidP="007F2753">
      <w:pPr>
        <w:spacing w:line="480" w:lineRule="auto"/>
        <w:jc w:val="both"/>
      </w:pPr>
      <w:r>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much of the art auction econometric work has relied on the same two Impressionist and Contemporary art datasets that onl</w:t>
      </w:r>
      <w:r w:rsidR="004F7D63">
        <w:t>y cover auction sales until 1991</w:t>
      </w:r>
      <w:r>
        <w:t xml:space="preserve"> and 1994, respectively. Our new dataset of approximately</w:t>
      </w:r>
      <w:r w:rsidR="00274BF4">
        <w:t xml:space="preserve"> </w:t>
      </w:r>
      <w:r w:rsidR="00AD7855">
        <w:t>500,000</w:t>
      </w:r>
      <w:r>
        <w:t xml:space="preserve"> assorted </w:t>
      </w:r>
      <w:r w:rsidR="00195668">
        <w:t xml:space="preserve">art </w:t>
      </w:r>
      <w:r>
        <w:t xml:space="preserve">sales (2006-2015), </w:t>
      </w:r>
      <w:r w:rsidR="00C846EB">
        <w:t>constructed by</w:t>
      </w:r>
      <w:r w:rsidR="00C642D3">
        <w:t xml:space="preserve"> writing a Python program to </w:t>
      </w:r>
      <w:r w:rsidR="006062E9">
        <w:t>scrap</w:t>
      </w:r>
      <w:r w:rsidR="00240506">
        <w:t>e</w:t>
      </w:r>
      <w:r>
        <w:t xml:space="preserve"> Blouin ArtInfo</w:t>
      </w:r>
      <w:r w:rsidR="0023225A">
        <w:t xml:space="preserve"> for 10 straight days</w:t>
      </w:r>
      <w:r>
        <w:t xml:space="preserve">, provides a larger and more up-to-date reference for auction sales. Lastly, our </w:t>
      </w:r>
      <w:r>
        <w:lastRenderedPageBreak/>
        <w:t>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w:t>
      </w:r>
      <w:r w:rsidR="00692373">
        <w:t xml:space="preserve"> sales of different artworks</w:t>
      </w:r>
      <w:r>
        <w:t>. For auction houses and professionals, our work provides a practical regression model for estimating an artwork’s price in the light of related sales. Our approach is more general than the original anchoring model of Beggs &amp; Graddy (2009), 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rsidR="007F2753" w:rsidRDefault="007F2753" w:rsidP="007F2753">
      <w:pPr>
        <w:spacing w:line="480" w:lineRule="auto"/>
        <w:jc w:val="both"/>
      </w:pPr>
      <w:r>
        <w:t xml:space="preserve">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w:t>
      </w:r>
      <w:r>
        <w:lastRenderedPageBreak/>
        <w:t>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vary at different price points, and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7F2753" w:rsidRPr="00320F0A" w:rsidRDefault="007F2753" w:rsidP="007F2753">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 followed by our findings pertaining to anchoring cross-effects. We then present the results of our three experiments conducted on known pairs of “similar” artists, as </w:t>
      </w:r>
      <w:r>
        <w:lastRenderedPageBreak/>
        <w:t>suggested by Hadley Newton. Section VI discusses directions for future work. Finally, Section VII concludes with a summary of our findings.</w:t>
      </w:r>
    </w:p>
    <w:p w:rsidR="00E558A5" w:rsidRPr="007F2753" w:rsidRDefault="00E558A5" w:rsidP="007F2753"/>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DC8" w:rsidRDefault="00E82DC8" w:rsidP="004518F5">
      <w:pPr>
        <w:spacing w:line="240" w:lineRule="auto"/>
      </w:pPr>
      <w:r>
        <w:separator/>
      </w:r>
    </w:p>
  </w:endnote>
  <w:endnote w:type="continuationSeparator" w:id="0">
    <w:p w:rsidR="00E82DC8" w:rsidRDefault="00E82DC8"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CF1E8E">
          <w:rPr>
            <w:noProof/>
          </w:rPr>
          <w:t>4</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DC8" w:rsidRDefault="00E82DC8" w:rsidP="004518F5">
      <w:pPr>
        <w:spacing w:line="240" w:lineRule="auto"/>
      </w:pPr>
      <w:r>
        <w:separator/>
      </w:r>
    </w:p>
  </w:footnote>
  <w:footnote w:type="continuationSeparator" w:id="0">
    <w:p w:rsidR="00E82DC8" w:rsidRDefault="00E82DC8"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rsidR="00D527BD" w:rsidRDefault="00D527BD" w:rsidP="007F2753">
      <w:pPr>
        <w:pStyle w:val="FootnoteText"/>
      </w:pPr>
      <w:hyperlink r:id="rId2" w:history="1">
        <w:r w:rsidRPr="00BE22BF">
          <w:rPr>
            <w:rStyle w:val="Hyperlink"/>
          </w:rPr>
          <w:t>http://www.xe.com/currencyconverter/convert/?From=GBP&amp;To=USD</w:t>
        </w:r>
      </w:hyperlink>
      <w:r>
        <w:t xml:space="preserve"> accessed 2/20/2015</w:t>
      </w:r>
    </w:p>
  </w:footnote>
  <w:footnote w:id="3">
    <w:p w:rsidR="007F2753" w:rsidRDefault="007F2753" w:rsidP="007F2753">
      <w:pPr>
        <w:pStyle w:val="FootnoteText"/>
      </w:pPr>
      <w:r>
        <w:rPr>
          <w:rStyle w:val="FootnoteReference"/>
        </w:rPr>
        <w:footnoteRef/>
      </w:r>
      <w:r>
        <w:t xml:space="preserve"> Interview with Raphaelle Benabou</w:t>
      </w:r>
    </w:p>
  </w:footnote>
  <w:footnote w:id="4">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002056"/>
    <w:rsid w:val="000034CF"/>
    <w:rsid w:val="0000391C"/>
    <w:rsid w:val="00006A01"/>
    <w:rsid w:val="00014A60"/>
    <w:rsid w:val="000248B0"/>
    <w:rsid w:val="00026A51"/>
    <w:rsid w:val="00030CDB"/>
    <w:rsid w:val="00031BA8"/>
    <w:rsid w:val="000323AB"/>
    <w:rsid w:val="0003286C"/>
    <w:rsid w:val="00043A7E"/>
    <w:rsid w:val="000462C6"/>
    <w:rsid w:val="000512C0"/>
    <w:rsid w:val="00055F33"/>
    <w:rsid w:val="0005757F"/>
    <w:rsid w:val="0006000E"/>
    <w:rsid w:val="0006028C"/>
    <w:rsid w:val="00061917"/>
    <w:rsid w:val="00065AB5"/>
    <w:rsid w:val="00080098"/>
    <w:rsid w:val="00084B43"/>
    <w:rsid w:val="00090964"/>
    <w:rsid w:val="000913E0"/>
    <w:rsid w:val="000A0B8D"/>
    <w:rsid w:val="000A3B2C"/>
    <w:rsid w:val="000A71A4"/>
    <w:rsid w:val="000B09FB"/>
    <w:rsid w:val="000B2AE2"/>
    <w:rsid w:val="000B50E3"/>
    <w:rsid w:val="000B53C4"/>
    <w:rsid w:val="000C16CB"/>
    <w:rsid w:val="000C2DCF"/>
    <w:rsid w:val="000D040D"/>
    <w:rsid w:val="000D57BF"/>
    <w:rsid w:val="000E0B8E"/>
    <w:rsid w:val="000E1229"/>
    <w:rsid w:val="000E29A6"/>
    <w:rsid w:val="000E4521"/>
    <w:rsid w:val="000F2729"/>
    <w:rsid w:val="000F47D0"/>
    <w:rsid w:val="001006F5"/>
    <w:rsid w:val="00101061"/>
    <w:rsid w:val="001039A1"/>
    <w:rsid w:val="00107124"/>
    <w:rsid w:val="00112C01"/>
    <w:rsid w:val="00114376"/>
    <w:rsid w:val="0011790D"/>
    <w:rsid w:val="0012262C"/>
    <w:rsid w:val="00123590"/>
    <w:rsid w:val="0013157A"/>
    <w:rsid w:val="00141E38"/>
    <w:rsid w:val="00143021"/>
    <w:rsid w:val="0015066C"/>
    <w:rsid w:val="00166A96"/>
    <w:rsid w:val="00166ED8"/>
    <w:rsid w:val="00170CA8"/>
    <w:rsid w:val="00172EB9"/>
    <w:rsid w:val="00185EAA"/>
    <w:rsid w:val="001938E7"/>
    <w:rsid w:val="00193F3F"/>
    <w:rsid w:val="001941AA"/>
    <w:rsid w:val="00195668"/>
    <w:rsid w:val="001971D9"/>
    <w:rsid w:val="001A067F"/>
    <w:rsid w:val="001A5906"/>
    <w:rsid w:val="001A7C3A"/>
    <w:rsid w:val="001B611B"/>
    <w:rsid w:val="001B7FB0"/>
    <w:rsid w:val="001C68FA"/>
    <w:rsid w:val="001C69B7"/>
    <w:rsid w:val="001C6C7A"/>
    <w:rsid w:val="001D1CAF"/>
    <w:rsid w:val="001D2B2A"/>
    <w:rsid w:val="001D2D8A"/>
    <w:rsid w:val="001D4F35"/>
    <w:rsid w:val="001E104F"/>
    <w:rsid w:val="001E4E5C"/>
    <w:rsid w:val="001F3499"/>
    <w:rsid w:val="0020542B"/>
    <w:rsid w:val="00214B3C"/>
    <w:rsid w:val="0021629F"/>
    <w:rsid w:val="002232E8"/>
    <w:rsid w:val="00226232"/>
    <w:rsid w:val="0022688B"/>
    <w:rsid w:val="0023225A"/>
    <w:rsid w:val="00232F07"/>
    <w:rsid w:val="00233DE7"/>
    <w:rsid w:val="00234B17"/>
    <w:rsid w:val="00240506"/>
    <w:rsid w:val="0025436E"/>
    <w:rsid w:val="0025554B"/>
    <w:rsid w:val="0025739A"/>
    <w:rsid w:val="002630AC"/>
    <w:rsid w:val="002636AC"/>
    <w:rsid w:val="00263BFA"/>
    <w:rsid w:val="00271B8B"/>
    <w:rsid w:val="00274BF4"/>
    <w:rsid w:val="002813F4"/>
    <w:rsid w:val="002824B5"/>
    <w:rsid w:val="002829C6"/>
    <w:rsid w:val="00286750"/>
    <w:rsid w:val="00295313"/>
    <w:rsid w:val="002A6BA5"/>
    <w:rsid w:val="002B280C"/>
    <w:rsid w:val="002B3E3C"/>
    <w:rsid w:val="002B4825"/>
    <w:rsid w:val="002C6EE1"/>
    <w:rsid w:val="002D230B"/>
    <w:rsid w:val="002D3067"/>
    <w:rsid w:val="002D4037"/>
    <w:rsid w:val="002D5BEB"/>
    <w:rsid w:val="002D7939"/>
    <w:rsid w:val="002D7DDC"/>
    <w:rsid w:val="002E3F54"/>
    <w:rsid w:val="002E3F5A"/>
    <w:rsid w:val="002F0B39"/>
    <w:rsid w:val="002F113E"/>
    <w:rsid w:val="002F2C7C"/>
    <w:rsid w:val="003022E9"/>
    <w:rsid w:val="0030284F"/>
    <w:rsid w:val="00307EA6"/>
    <w:rsid w:val="00313CEF"/>
    <w:rsid w:val="00315816"/>
    <w:rsid w:val="003175F2"/>
    <w:rsid w:val="00323B1C"/>
    <w:rsid w:val="003256F7"/>
    <w:rsid w:val="00327664"/>
    <w:rsid w:val="0033768A"/>
    <w:rsid w:val="003503C1"/>
    <w:rsid w:val="00350527"/>
    <w:rsid w:val="00352E90"/>
    <w:rsid w:val="00352FD9"/>
    <w:rsid w:val="0035551E"/>
    <w:rsid w:val="0035639D"/>
    <w:rsid w:val="00365E50"/>
    <w:rsid w:val="00367C77"/>
    <w:rsid w:val="0037348E"/>
    <w:rsid w:val="00373B8B"/>
    <w:rsid w:val="0037559D"/>
    <w:rsid w:val="00375DA6"/>
    <w:rsid w:val="003835D4"/>
    <w:rsid w:val="003872E2"/>
    <w:rsid w:val="00390121"/>
    <w:rsid w:val="0039422A"/>
    <w:rsid w:val="003949B2"/>
    <w:rsid w:val="00394C2F"/>
    <w:rsid w:val="0039574B"/>
    <w:rsid w:val="0039642C"/>
    <w:rsid w:val="003A0C79"/>
    <w:rsid w:val="003A3106"/>
    <w:rsid w:val="003A50C8"/>
    <w:rsid w:val="003A531B"/>
    <w:rsid w:val="003B04CE"/>
    <w:rsid w:val="003B32F5"/>
    <w:rsid w:val="003B4272"/>
    <w:rsid w:val="003B6C72"/>
    <w:rsid w:val="003B6CDF"/>
    <w:rsid w:val="003B708F"/>
    <w:rsid w:val="003C04E1"/>
    <w:rsid w:val="003C2844"/>
    <w:rsid w:val="003C2DD6"/>
    <w:rsid w:val="003C5218"/>
    <w:rsid w:val="003C76CF"/>
    <w:rsid w:val="003D2669"/>
    <w:rsid w:val="003D6D7A"/>
    <w:rsid w:val="003E0F38"/>
    <w:rsid w:val="003E383D"/>
    <w:rsid w:val="003E409B"/>
    <w:rsid w:val="003E5927"/>
    <w:rsid w:val="003E6961"/>
    <w:rsid w:val="003E736F"/>
    <w:rsid w:val="003F2D26"/>
    <w:rsid w:val="00402ADF"/>
    <w:rsid w:val="00410977"/>
    <w:rsid w:val="004164D5"/>
    <w:rsid w:val="00416AA5"/>
    <w:rsid w:val="004171DB"/>
    <w:rsid w:val="00423CEF"/>
    <w:rsid w:val="0042559A"/>
    <w:rsid w:val="0043323C"/>
    <w:rsid w:val="004344E9"/>
    <w:rsid w:val="00443B9A"/>
    <w:rsid w:val="00450BA4"/>
    <w:rsid w:val="004518F5"/>
    <w:rsid w:val="00451B2E"/>
    <w:rsid w:val="00452336"/>
    <w:rsid w:val="00452C8F"/>
    <w:rsid w:val="0045309B"/>
    <w:rsid w:val="0046275D"/>
    <w:rsid w:val="0046310F"/>
    <w:rsid w:val="00466FCD"/>
    <w:rsid w:val="0047047F"/>
    <w:rsid w:val="004706AC"/>
    <w:rsid w:val="004722EF"/>
    <w:rsid w:val="00472352"/>
    <w:rsid w:val="00474D7C"/>
    <w:rsid w:val="00476CF1"/>
    <w:rsid w:val="004777CB"/>
    <w:rsid w:val="00482FA1"/>
    <w:rsid w:val="00484345"/>
    <w:rsid w:val="0048593E"/>
    <w:rsid w:val="00493AC4"/>
    <w:rsid w:val="00493CE8"/>
    <w:rsid w:val="00495487"/>
    <w:rsid w:val="004A1E30"/>
    <w:rsid w:val="004A284B"/>
    <w:rsid w:val="004A2D5C"/>
    <w:rsid w:val="004A6642"/>
    <w:rsid w:val="004C0FB7"/>
    <w:rsid w:val="004C1713"/>
    <w:rsid w:val="004F4EA0"/>
    <w:rsid w:val="004F7D63"/>
    <w:rsid w:val="005052A3"/>
    <w:rsid w:val="005153DA"/>
    <w:rsid w:val="005201B2"/>
    <w:rsid w:val="00520E6A"/>
    <w:rsid w:val="0052191D"/>
    <w:rsid w:val="00522F61"/>
    <w:rsid w:val="00526718"/>
    <w:rsid w:val="00531AC1"/>
    <w:rsid w:val="00532A08"/>
    <w:rsid w:val="00533E11"/>
    <w:rsid w:val="00535301"/>
    <w:rsid w:val="00536046"/>
    <w:rsid w:val="0054060D"/>
    <w:rsid w:val="005448BC"/>
    <w:rsid w:val="00551119"/>
    <w:rsid w:val="00551852"/>
    <w:rsid w:val="00552762"/>
    <w:rsid w:val="00571AD4"/>
    <w:rsid w:val="005740CC"/>
    <w:rsid w:val="00580632"/>
    <w:rsid w:val="0058457E"/>
    <w:rsid w:val="00587469"/>
    <w:rsid w:val="0059240C"/>
    <w:rsid w:val="00593086"/>
    <w:rsid w:val="005950BF"/>
    <w:rsid w:val="00597896"/>
    <w:rsid w:val="005A6716"/>
    <w:rsid w:val="005B133E"/>
    <w:rsid w:val="005B7085"/>
    <w:rsid w:val="005C2668"/>
    <w:rsid w:val="005C6B82"/>
    <w:rsid w:val="005C7D52"/>
    <w:rsid w:val="005D00AE"/>
    <w:rsid w:val="005D1931"/>
    <w:rsid w:val="005D24FE"/>
    <w:rsid w:val="005D6860"/>
    <w:rsid w:val="005D70E9"/>
    <w:rsid w:val="005D7A58"/>
    <w:rsid w:val="005E1372"/>
    <w:rsid w:val="005E2FA2"/>
    <w:rsid w:val="005E5C12"/>
    <w:rsid w:val="005E7266"/>
    <w:rsid w:val="005F2FA1"/>
    <w:rsid w:val="005F4BBD"/>
    <w:rsid w:val="005F7F9A"/>
    <w:rsid w:val="00602EAA"/>
    <w:rsid w:val="00606031"/>
    <w:rsid w:val="006062E9"/>
    <w:rsid w:val="00607E1A"/>
    <w:rsid w:val="00610FB9"/>
    <w:rsid w:val="0061630D"/>
    <w:rsid w:val="00620213"/>
    <w:rsid w:val="006223E7"/>
    <w:rsid w:val="0062381B"/>
    <w:rsid w:val="00623FEE"/>
    <w:rsid w:val="00624CA5"/>
    <w:rsid w:val="00625CBE"/>
    <w:rsid w:val="00626AD3"/>
    <w:rsid w:val="006317CA"/>
    <w:rsid w:val="006330FF"/>
    <w:rsid w:val="00636662"/>
    <w:rsid w:val="0064205C"/>
    <w:rsid w:val="00643816"/>
    <w:rsid w:val="00643F6E"/>
    <w:rsid w:val="00644D1A"/>
    <w:rsid w:val="00651EA8"/>
    <w:rsid w:val="006567C9"/>
    <w:rsid w:val="00660819"/>
    <w:rsid w:val="00662A12"/>
    <w:rsid w:val="00666694"/>
    <w:rsid w:val="006675D2"/>
    <w:rsid w:val="00672FC6"/>
    <w:rsid w:val="00677C6C"/>
    <w:rsid w:val="00691324"/>
    <w:rsid w:val="00691885"/>
    <w:rsid w:val="00692373"/>
    <w:rsid w:val="00694929"/>
    <w:rsid w:val="006A06DB"/>
    <w:rsid w:val="006A1817"/>
    <w:rsid w:val="006A1BBF"/>
    <w:rsid w:val="006A4D2F"/>
    <w:rsid w:val="006A6740"/>
    <w:rsid w:val="006B1286"/>
    <w:rsid w:val="006B380C"/>
    <w:rsid w:val="006B7E9F"/>
    <w:rsid w:val="006C5CD3"/>
    <w:rsid w:val="006D358A"/>
    <w:rsid w:val="006D55F1"/>
    <w:rsid w:val="006E22D3"/>
    <w:rsid w:val="006E48F2"/>
    <w:rsid w:val="006E4B9E"/>
    <w:rsid w:val="0070111A"/>
    <w:rsid w:val="00704ECC"/>
    <w:rsid w:val="00710F9D"/>
    <w:rsid w:val="0071325B"/>
    <w:rsid w:val="00713976"/>
    <w:rsid w:val="00716496"/>
    <w:rsid w:val="007176DE"/>
    <w:rsid w:val="0072132D"/>
    <w:rsid w:val="00722C61"/>
    <w:rsid w:val="007237A1"/>
    <w:rsid w:val="00723DBE"/>
    <w:rsid w:val="0073690E"/>
    <w:rsid w:val="00742340"/>
    <w:rsid w:val="007423B0"/>
    <w:rsid w:val="007430BE"/>
    <w:rsid w:val="00752574"/>
    <w:rsid w:val="00760DF6"/>
    <w:rsid w:val="0076668D"/>
    <w:rsid w:val="007738A8"/>
    <w:rsid w:val="00773AE7"/>
    <w:rsid w:val="0078234D"/>
    <w:rsid w:val="00787FEE"/>
    <w:rsid w:val="00794C83"/>
    <w:rsid w:val="00794EDD"/>
    <w:rsid w:val="00796456"/>
    <w:rsid w:val="007B1F13"/>
    <w:rsid w:val="007B32E8"/>
    <w:rsid w:val="007C4065"/>
    <w:rsid w:val="007C550E"/>
    <w:rsid w:val="007C6FAE"/>
    <w:rsid w:val="007D1FCD"/>
    <w:rsid w:val="007D23F0"/>
    <w:rsid w:val="007E0D13"/>
    <w:rsid w:val="007E11BF"/>
    <w:rsid w:val="007E1C10"/>
    <w:rsid w:val="007E6453"/>
    <w:rsid w:val="007E69A2"/>
    <w:rsid w:val="007E6FA6"/>
    <w:rsid w:val="007F1CC1"/>
    <w:rsid w:val="007F2753"/>
    <w:rsid w:val="007F5D48"/>
    <w:rsid w:val="007F7DD3"/>
    <w:rsid w:val="00810563"/>
    <w:rsid w:val="00814E15"/>
    <w:rsid w:val="00816F49"/>
    <w:rsid w:val="00825283"/>
    <w:rsid w:val="0082674D"/>
    <w:rsid w:val="008272AA"/>
    <w:rsid w:val="008321B7"/>
    <w:rsid w:val="008325CA"/>
    <w:rsid w:val="008363AF"/>
    <w:rsid w:val="008367CF"/>
    <w:rsid w:val="00841C40"/>
    <w:rsid w:val="00853BCA"/>
    <w:rsid w:val="008555B7"/>
    <w:rsid w:val="00860839"/>
    <w:rsid w:val="00866AF9"/>
    <w:rsid w:val="00867317"/>
    <w:rsid w:val="00872EBA"/>
    <w:rsid w:val="008744C7"/>
    <w:rsid w:val="0087549A"/>
    <w:rsid w:val="00880452"/>
    <w:rsid w:val="00881E43"/>
    <w:rsid w:val="00893DD8"/>
    <w:rsid w:val="00894249"/>
    <w:rsid w:val="008A2A1B"/>
    <w:rsid w:val="008A4FD5"/>
    <w:rsid w:val="008A5BB0"/>
    <w:rsid w:val="008A739A"/>
    <w:rsid w:val="008B3920"/>
    <w:rsid w:val="008B61D3"/>
    <w:rsid w:val="008C468E"/>
    <w:rsid w:val="008C75DD"/>
    <w:rsid w:val="008C7B19"/>
    <w:rsid w:val="008D4945"/>
    <w:rsid w:val="008D5833"/>
    <w:rsid w:val="008E7126"/>
    <w:rsid w:val="008F4332"/>
    <w:rsid w:val="008F7E66"/>
    <w:rsid w:val="00901386"/>
    <w:rsid w:val="009025B8"/>
    <w:rsid w:val="00906170"/>
    <w:rsid w:val="009062BB"/>
    <w:rsid w:val="00912C60"/>
    <w:rsid w:val="009271BE"/>
    <w:rsid w:val="00933F7D"/>
    <w:rsid w:val="009344A5"/>
    <w:rsid w:val="00936446"/>
    <w:rsid w:val="00942B37"/>
    <w:rsid w:val="00943EFB"/>
    <w:rsid w:val="00954D8E"/>
    <w:rsid w:val="00955712"/>
    <w:rsid w:val="009574CB"/>
    <w:rsid w:val="00961154"/>
    <w:rsid w:val="0096427B"/>
    <w:rsid w:val="00965CEF"/>
    <w:rsid w:val="009834E5"/>
    <w:rsid w:val="0098691B"/>
    <w:rsid w:val="009904F2"/>
    <w:rsid w:val="009964B5"/>
    <w:rsid w:val="00996F2A"/>
    <w:rsid w:val="009A0543"/>
    <w:rsid w:val="009A318D"/>
    <w:rsid w:val="009A3835"/>
    <w:rsid w:val="009B38C6"/>
    <w:rsid w:val="009B4CC4"/>
    <w:rsid w:val="009B79D7"/>
    <w:rsid w:val="009C1FF7"/>
    <w:rsid w:val="009C3C6E"/>
    <w:rsid w:val="009C5614"/>
    <w:rsid w:val="009C692D"/>
    <w:rsid w:val="009D1959"/>
    <w:rsid w:val="009D6BD6"/>
    <w:rsid w:val="009E0415"/>
    <w:rsid w:val="009F0693"/>
    <w:rsid w:val="009F4403"/>
    <w:rsid w:val="009F4B7C"/>
    <w:rsid w:val="00A019DA"/>
    <w:rsid w:val="00A02CAD"/>
    <w:rsid w:val="00A10AE1"/>
    <w:rsid w:val="00A1506F"/>
    <w:rsid w:val="00A15396"/>
    <w:rsid w:val="00A178D2"/>
    <w:rsid w:val="00A205DD"/>
    <w:rsid w:val="00A228C0"/>
    <w:rsid w:val="00A23FB1"/>
    <w:rsid w:val="00A324EE"/>
    <w:rsid w:val="00A34BD9"/>
    <w:rsid w:val="00A36A57"/>
    <w:rsid w:val="00A37814"/>
    <w:rsid w:val="00A54A4E"/>
    <w:rsid w:val="00A615F2"/>
    <w:rsid w:val="00A62102"/>
    <w:rsid w:val="00A74DF5"/>
    <w:rsid w:val="00A7792D"/>
    <w:rsid w:val="00A85BC7"/>
    <w:rsid w:val="00A87399"/>
    <w:rsid w:val="00A87B7E"/>
    <w:rsid w:val="00A93FD3"/>
    <w:rsid w:val="00A96F51"/>
    <w:rsid w:val="00AA6405"/>
    <w:rsid w:val="00AC50EA"/>
    <w:rsid w:val="00AC6719"/>
    <w:rsid w:val="00AC7AAF"/>
    <w:rsid w:val="00AD4CC6"/>
    <w:rsid w:val="00AD6653"/>
    <w:rsid w:val="00AD76BD"/>
    <w:rsid w:val="00AD7855"/>
    <w:rsid w:val="00AE5FDC"/>
    <w:rsid w:val="00AF293A"/>
    <w:rsid w:val="00AF5166"/>
    <w:rsid w:val="00AF60CE"/>
    <w:rsid w:val="00AF7E0A"/>
    <w:rsid w:val="00B14F7C"/>
    <w:rsid w:val="00B2263C"/>
    <w:rsid w:val="00B23133"/>
    <w:rsid w:val="00B24703"/>
    <w:rsid w:val="00B2548B"/>
    <w:rsid w:val="00B2556C"/>
    <w:rsid w:val="00B33A26"/>
    <w:rsid w:val="00B34032"/>
    <w:rsid w:val="00B34E94"/>
    <w:rsid w:val="00B37F36"/>
    <w:rsid w:val="00B43085"/>
    <w:rsid w:val="00B43B2D"/>
    <w:rsid w:val="00B440B9"/>
    <w:rsid w:val="00B5325E"/>
    <w:rsid w:val="00B61905"/>
    <w:rsid w:val="00B61D38"/>
    <w:rsid w:val="00B63D9C"/>
    <w:rsid w:val="00B654D4"/>
    <w:rsid w:val="00B6554D"/>
    <w:rsid w:val="00B71D2B"/>
    <w:rsid w:val="00B743F0"/>
    <w:rsid w:val="00B7508B"/>
    <w:rsid w:val="00B85C24"/>
    <w:rsid w:val="00B87F43"/>
    <w:rsid w:val="00B90C27"/>
    <w:rsid w:val="00B91FF9"/>
    <w:rsid w:val="00BA3141"/>
    <w:rsid w:val="00BA317D"/>
    <w:rsid w:val="00BA38D3"/>
    <w:rsid w:val="00BA4FEC"/>
    <w:rsid w:val="00BA53CF"/>
    <w:rsid w:val="00BB12F3"/>
    <w:rsid w:val="00BB334C"/>
    <w:rsid w:val="00BB3B86"/>
    <w:rsid w:val="00BB4F2A"/>
    <w:rsid w:val="00BD3DB6"/>
    <w:rsid w:val="00BD4F41"/>
    <w:rsid w:val="00BD5E36"/>
    <w:rsid w:val="00BD7662"/>
    <w:rsid w:val="00BE06E7"/>
    <w:rsid w:val="00BE34F7"/>
    <w:rsid w:val="00BF4D96"/>
    <w:rsid w:val="00BF577D"/>
    <w:rsid w:val="00C0099C"/>
    <w:rsid w:val="00C015D1"/>
    <w:rsid w:val="00C031EF"/>
    <w:rsid w:val="00C25757"/>
    <w:rsid w:val="00C33532"/>
    <w:rsid w:val="00C349BB"/>
    <w:rsid w:val="00C35985"/>
    <w:rsid w:val="00C41F6E"/>
    <w:rsid w:val="00C436AD"/>
    <w:rsid w:val="00C45104"/>
    <w:rsid w:val="00C45EF4"/>
    <w:rsid w:val="00C5518E"/>
    <w:rsid w:val="00C57A5B"/>
    <w:rsid w:val="00C57CF2"/>
    <w:rsid w:val="00C57E65"/>
    <w:rsid w:val="00C6125E"/>
    <w:rsid w:val="00C642D3"/>
    <w:rsid w:val="00C67974"/>
    <w:rsid w:val="00C80995"/>
    <w:rsid w:val="00C80AA8"/>
    <w:rsid w:val="00C81502"/>
    <w:rsid w:val="00C81599"/>
    <w:rsid w:val="00C82306"/>
    <w:rsid w:val="00C846EB"/>
    <w:rsid w:val="00C84F79"/>
    <w:rsid w:val="00C8524F"/>
    <w:rsid w:val="00C866EF"/>
    <w:rsid w:val="00C8670A"/>
    <w:rsid w:val="00C90C36"/>
    <w:rsid w:val="00C94D97"/>
    <w:rsid w:val="00CA27DA"/>
    <w:rsid w:val="00CA37B5"/>
    <w:rsid w:val="00CA39E2"/>
    <w:rsid w:val="00CA7D81"/>
    <w:rsid w:val="00CB1D21"/>
    <w:rsid w:val="00CB5205"/>
    <w:rsid w:val="00CC105B"/>
    <w:rsid w:val="00CC5DA7"/>
    <w:rsid w:val="00CC6898"/>
    <w:rsid w:val="00CC7324"/>
    <w:rsid w:val="00CD1AE6"/>
    <w:rsid w:val="00CD797A"/>
    <w:rsid w:val="00CE00AF"/>
    <w:rsid w:val="00CE0D01"/>
    <w:rsid w:val="00CE2AC4"/>
    <w:rsid w:val="00CE3698"/>
    <w:rsid w:val="00CE412A"/>
    <w:rsid w:val="00CF1E8E"/>
    <w:rsid w:val="00CF2517"/>
    <w:rsid w:val="00CF2FDC"/>
    <w:rsid w:val="00CF5C32"/>
    <w:rsid w:val="00D01C0D"/>
    <w:rsid w:val="00D14295"/>
    <w:rsid w:val="00D14433"/>
    <w:rsid w:val="00D16635"/>
    <w:rsid w:val="00D17649"/>
    <w:rsid w:val="00D21FC3"/>
    <w:rsid w:val="00D26092"/>
    <w:rsid w:val="00D26608"/>
    <w:rsid w:val="00D30463"/>
    <w:rsid w:val="00D320EB"/>
    <w:rsid w:val="00D32D7C"/>
    <w:rsid w:val="00D350B3"/>
    <w:rsid w:val="00D36040"/>
    <w:rsid w:val="00D37393"/>
    <w:rsid w:val="00D413C6"/>
    <w:rsid w:val="00D438F3"/>
    <w:rsid w:val="00D51FA9"/>
    <w:rsid w:val="00D527BD"/>
    <w:rsid w:val="00D54390"/>
    <w:rsid w:val="00D56CA0"/>
    <w:rsid w:val="00D602A8"/>
    <w:rsid w:val="00D609D9"/>
    <w:rsid w:val="00D6115D"/>
    <w:rsid w:val="00D61A0F"/>
    <w:rsid w:val="00D627A0"/>
    <w:rsid w:val="00D75742"/>
    <w:rsid w:val="00D83ECA"/>
    <w:rsid w:val="00D84DFD"/>
    <w:rsid w:val="00D86BD2"/>
    <w:rsid w:val="00D94298"/>
    <w:rsid w:val="00D9491D"/>
    <w:rsid w:val="00D956A3"/>
    <w:rsid w:val="00D95E9C"/>
    <w:rsid w:val="00DA1E0B"/>
    <w:rsid w:val="00DA4E5B"/>
    <w:rsid w:val="00DB3171"/>
    <w:rsid w:val="00DB383B"/>
    <w:rsid w:val="00DB4027"/>
    <w:rsid w:val="00DB5AFF"/>
    <w:rsid w:val="00DB704E"/>
    <w:rsid w:val="00DC1BBE"/>
    <w:rsid w:val="00DC6056"/>
    <w:rsid w:val="00DD1E4B"/>
    <w:rsid w:val="00DD41AD"/>
    <w:rsid w:val="00DD4AA0"/>
    <w:rsid w:val="00DD63FA"/>
    <w:rsid w:val="00DE238D"/>
    <w:rsid w:val="00DE304E"/>
    <w:rsid w:val="00DE3280"/>
    <w:rsid w:val="00DE3652"/>
    <w:rsid w:val="00DE3CB1"/>
    <w:rsid w:val="00DE48EF"/>
    <w:rsid w:val="00DE7D14"/>
    <w:rsid w:val="00DF11D3"/>
    <w:rsid w:val="00DF14D5"/>
    <w:rsid w:val="00DF34B7"/>
    <w:rsid w:val="00DF6E6E"/>
    <w:rsid w:val="00DF760A"/>
    <w:rsid w:val="00E012EB"/>
    <w:rsid w:val="00E050C2"/>
    <w:rsid w:val="00E05B1A"/>
    <w:rsid w:val="00E10A07"/>
    <w:rsid w:val="00E13DA2"/>
    <w:rsid w:val="00E14F29"/>
    <w:rsid w:val="00E15830"/>
    <w:rsid w:val="00E15CC3"/>
    <w:rsid w:val="00E17941"/>
    <w:rsid w:val="00E17A48"/>
    <w:rsid w:val="00E302D6"/>
    <w:rsid w:val="00E34031"/>
    <w:rsid w:val="00E341D6"/>
    <w:rsid w:val="00E42639"/>
    <w:rsid w:val="00E4272B"/>
    <w:rsid w:val="00E45F67"/>
    <w:rsid w:val="00E468ED"/>
    <w:rsid w:val="00E519A1"/>
    <w:rsid w:val="00E558A5"/>
    <w:rsid w:val="00E60494"/>
    <w:rsid w:val="00E61FC0"/>
    <w:rsid w:val="00E704E0"/>
    <w:rsid w:val="00E73828"/>
    <w:rsid w:val="00E821F6"/>
    <w:rsid w:val="00E82DC8"/>
    <w:rsid w:val="00E83357"/>
    <w:rsid w:val="00E952DC"/>
    <w:rsid w:val="00E95D9B"/>
    <w:rsid w:val="00E97777"/>
    <w:rsid w:val="00EA3678"/>
    <w:rsid w:val="00EA4371"/>
    <w:rsid w:val="00EB1D3C"/>
    <w:rsid w:val="00EB27BD"/>
    <w:rsid w:val="00EB5060"/>
    <w:rsid w:val="00EC019B"/>
    <w:rsid w:val="00EC6C1D"/>
    <w:rsid w:val="00ED1BF8"/>
    <w:rsid w:val="00ED6D24"/>
    <w:rsid w:val="00ED764D"/>
    <w:rsid w:val="00EE1FFE"/>
    <w:rsid w:val="00EE438C"/>
    <w:rsid w:val="00EE597D"/>
    <w:rsid w:val="00EF0F4A"/>
    <w:rsid w:val="00EF6185"/>
    <w:rsid w:val="00EF652C"/>
    <w:rsid w:val="00F0038E"/>
    <w:rsid w:val="00F00AB5"/>
    <w:rsid w:val="00F014EF"/>
    <w:rsid w:val="00F05FFA"/>
    <w:rsid w:val="00F06E5E"/>
    <w:rsid w:val="00F123DE"/>
    <w:rsid w:val="00F13537"/>
    <w:rsid w:val="00F21B29"/>
    <w:rsid w:val="00F21C31"/>
    <w:rsid w:val="00F23E5A"/>
    <w:rsid w:val="00F25ECD"/>
    <w:rsid w:val="00F268AE"/>
    <w:rsid w:val="00F27F92"/>
    <w:rsid w:val="00F33EAC"/>
    <w:rsid w:val="00F35FAB"/>
    <w:rsid w:val="00F420B2"/>
    <w:rsid w:val="00F458C9"/>
    <w:rsid w:val="00F5100C"/>
    <w:rsid w:val="00F56B04"/>
    <w:rsid w:val="00F56BF7"/>
    <w:rsid w:val="00F60D6B"/>
    <w:rsid w:val="00F620A9"/>
    <w:rsid w:val="00F63560"/>
    <w:rsid w:val="00F70CBE"/>
    <w:rsid w:val="00F71D8E"/>
    <w:rsid w:val="00F74427"/>
    <w:rsid w:val="00F836C0"/>
    <w:rsid w:val="00F85143"/>
    <w:rsid w:val="00F86797"/>
    <w:rsid w:val="00F90E52"/>
    <w:rsid w:val="00F9213F"/>
    <w:rsid w:val="00F926A3"/>
    <w:rsid w:val="00F94918"/>
    <w:rsid w:val="00FA2F6B"/>
    <w:rsid w:val="00FA3E23"/>
    <w:rsid w:val="00FA4ECF"/>
    <w:rsid w:val="00FA5430"/>
    <w:rsid w:val="00FB4C9C"/>
    <w:rsid w:val="00FB7E47"/>
    <w:rsid w:val="00FC3568"/>
    <w:rsid w:val="00FC385E"/>
    <w:rsid w:val="00FC58D2"/>
    <w:rsid w:val="00FC6E68"/>
    <w:rsid w:val="00FC7445"/>
    <w:rsid w:val="00FC7BAE"/>
    <w:rsid w:val="00FD2DEE"/>
    <w:rsid w:val="00FD699C"/>
    <w:rsid w:val="00FE06F4"/>
    <w:rsid w:val="00FE27E9"/>
    <w:rsid w:val="00FF463F"/>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945</cp:revision>
  <dcterms:created xsi:type="dcterms:W3CDTF">2016-04-08T18:40:00Z</dcterms:created>
  <dcterms:modified xsi:type="dcterms:W3CDTF">2016-04-10T04:36:00Z</dcterms:modified>
</cp:coreProperties>
</file>