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7A68DC">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w:t>
      </w:r>
      <w:r w:rsidR="00225120">
        <w:t xml:space="preserve">By controlling </w:t>
      </w:r>
      <w:r w:rsidR="00601643">
        <w:t xml:space="preserve">for </w:t>
      </w:r>
      <w:r w:rsidR="000E4793">
        <w:t xml:space="preserve">hedonic value </w:t>
      </w:r>
      <w:r w:rsidR="0052712B">
        <w:t>at all time points,</w:t>
      </w:r>
      <w:r w:rsidR="003E15DE">
        <w:t xml:space="preserve"> </w:t>
      </w:r>
      <w:r w:rsidR="00003C7A">
        <w:t xml:space="preserve">current price may be regressed </w:t>
      </w:r>
      <w:r w:rsidR="004E40E6">
        <w:t xml:space="preserve">on </w:t>
      </w:r>
      <w:r w:rsidR="00597CA3">
        <w:t xml:space="preserve">the </w:t>
      </w:r>
      <w:r w:rsidR="00F13254">
        <w:t xml:space="preserve">non-hedonic </w:t>
      </w:r>
      <w:r w:rsidR="0075251E">
        <w:t xml:space="preserve">aspects of past </w:t>
      </w:r>
      <w:r w:rsidR="00657888">
        <w:t>price</w:t>
      </w:r>
      <w:r w:rsidR="00F1074E">
        <w:t xml:space="preserve">. This </w:t>
      </w:r>
      <w:r w:rsidR="007A6E31">
        <w:t xml:space="preserve">past </w:t>
      </w:r>
      <w:r w:rsidR="00844AB0">
        <w:t xml:space="preserve">residual </w:t>
      </w:r>
      <w:r w:rsidR="00F1074E">
        <w:t xml:space="preserve">is identified as the </w:t>
      </w:r>
      <w:r w:rsidR="001A670E">
        <w:t>anchoring effect</w:t>
      </w:r>
      <w:r w:rsidR="007A6E31">
        <w:t>.</w:t>
      </w:r>
      <w:r w:rsidR="009900BC">
        <w:t xml:space="preserve"> </w:t>
      </w:r>
    </w:p>
    <w:p w:rsidR="00BF77E3"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w:t>
      </w:r>
      <w:proofErr w:type="spellStart"/>
      <w:r w:rsidR="003B1476">
        <w:t>Beggs</w:t>
      </w:r>
      <w:proofErr w:type="spellEnd"/>
      <w:r w:rsidR="003B1476">
        <w:t xml:space="preserve"> &amp; </w:t>
      </w:r>
      <w:proofErr w:type="spellStart"/>
      <w:r w:rsidR="003B1476">
        <w:t>Graddy</w:t>
      </w:r>
      <w:proofErr w:type="spellEnd"/>
      <w:r w:rsidR="003B1476">
        <w:t xml:space="preserve"> </w:t>
      </w:r>
      <w:r w:rsidR="00307A7C">
        <w:t>and we use</w:t>
      </w:r>
      <w:r w:rsidR="003015DD">
        <w:t>,</w:t>
      </w:r>
      <w:r w:rsidR="00240F62">
        <w:t xml:space="preserve"> is given below. We denote the current </w:t>
      </w:r>
      <w:r w:rsidR="002E01A0">
        <w:t>period as</w:t>
      </w:r>
      <m:oMath>
        <m:r>
          <w:rPr>
            <w:rFonts w:ascii="Cambria Math" w:hAnsi="Cambria Math"/>
          </w:rPr>
          <m:t xml:space="preserve"> t</m:t>
        </m:r>
      </m:oMath>
      <w:r w:rsidR="002E01A0">
        <w:rPr>
          <w:rFonts w:eastAsiaTheme="minorEastAsia"/>
        </w:rPr>
        <w:t xml:space="preserve"> and the previous period as</w:t>
      </w:r>
      <m:oMath>
        <m:r>
          <w:rPr>
            <w:rFonts w:ascii="Cambria Math" w:eastAsiaTheme="minorEastAsia" w:hAnsi="Cambria Math"/>
          </w:rPr>
          <m:t xml:space="preserve"> t-1</m:t>
        </m:r>
      </m:oMath>
      <w:r w:rsidR="00D81270">
        <w:rPr>
          <w:rFonts w:eastAsiaTheme="minorEastAsia"/>
        </w:rPr>
        <w:t>.</w:t>
      </w:r>
      <w:r w:rsidR="00307A7C">
        <w:t xml:space="preserve"> </w:t>
      </w:r>
    </w:p>
    <w:p w:rsidR="00FE25A3" w:rsidRPr="00636905" w:rsidRDefault="00FE25A3" w:rsidP="007A68DC">
      <w:pPr>
        <w:spacing w:line="480" w:lineRule="auto"/>
        <w:jc w:val="both"/>
      </w:pPr>
    </w:p>
    <w:p w:rsidR="007A68DC" w:rsidRPr="00C91C33" w:rsidRDefault="00FB3C2A"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636905" w:rsidRDefault="00C91C33" w:rsidP="007A68DC">
      <w:pPr>
        <w:spacing w:line="480" w:lineRule="auto"/>
        <w:rPr>
          <w:rFonts w:eastAsiaTheme="minorEastAsia"/>
        </w:rPr>
      </w:pPr>
    </w:p>
    <w:p w:rsidR="007A68DC" w:rsidRDefault="00D81270" w:rsidP="00C91C33">
      <w:pPr>
        <w:spacing w:line="480" w:lineRule="auto"/>
        <w:ind w:firstLine="0"/>
        <w:jc w:val="both"/>
      </w:pPr>
      <w:r>
        <w:t xml:space="preserve">For my replication work on the Impressionist and Contemporary datasets, </w:t>
      </w:r>
      <w:r w:rsidRPr="00636905">
        <w:t>I</w:t>
      </w:r>
      <w:r>
        <w:t xml:space="preserve"> </w:t>
      </w:r>
      <w:r w:rsidRPr="00636905">
        <w:t xml:space="preserve">use the same </w:t>
      </w:r>
      <w:r>
        <w:t xml:space="preserve">hedonic </w:t>
      </w:r>
      <w:r w:rsidRPr="00636905">
        <w:t xml:space="preserve">variables </w:t>
      </w:r>
      <w:r>
        <w:t xml:space="preserve">that </w:t>
      </w:r>
      <w:proofErr w:type="spellStart"/>
      <w:r w:rsidRPr="00636905">
        <w:t>Beggs</w:t>
      </w:r>
      <w:proofErr w:type="spellEnd"/>
      <w:r w:rsidRPr="00636905">
        <w:t xml:space="preserve"> &amp; </w:t>
      </w:r>
      <w:proofErr w:type="spellStart"/>
      <w:r w:rsidRPr="00636905">
        <w:t>Graddy</w:t>
      </w:r>
      <w:proofErr w:type="spellEnd"/>
      <w:r>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7A68DC" w:rsidRDefault="007A68DC" w:rsidP="00D81270">
      <w:pPr>
        <w:spacing w:line="480" w:lineRule="auto"/>
        <w:jc w:val="both"/>
        <w:rPr>
          <w:rFonts w:eastAsiaTheme="minorEastAsia"/>
        </w:rPr>
      </w:pPr>
      <w:r>
        <w:lastRenderedPageBreak/>
        <w:t xml:space="preserve">In the same </w:t>
      </w:r>
      <w:r w:rsidR="006F388D">
        <w:t>manner</w:t>
      </w:r>
      <w:r>
        <w:t xml:space="preserve">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 xml:space="preserve">It is </w:t>
      </w:r>
      <w:proofErr w:type="gramStart"/>
      <w:r>
        <w:rPr>
          <w:rFonts w:eastAsiaTheme="minorEastAsia"/>
        </w:rPr>
        <w:t>important</w:t>
      </w:r>
      <w:proofErr w:type="gramEnd"/>
      <w:r>
        <w:rPr>
          <w:rFonts w:eastAsiaTheme="minorEastAsia"/>
        </w:rPr>
        <w:t xml:space="preserve">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w:t>
      </w:r>
      <w:r w:rsidR="007C3450">
        <w:rPr>
          <w:rFonts w:eastAsiaTheme="minorEastAsia"/>
        </w:rPr>
        <w:t>, fitted to each unique painting,</w:t>
      </w:r>
      <w:r>
        <w:rPr>
          <w:rFonts w:eastAsiaTheme="minorEastAsia"/>
        </w:rPr>
        <w:t xml:space="preserve"> 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r w:rsidR="00E00762">
        <w:rPr>
          <w:rFonts w:eastAsiaTheme="minorEastAsia"/>
        </w:rPr>
        <w:t xml:space="preserve"> </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w:t>
      </w:r>
      <w:proofErr w:type="gramStart"/>
      <w:r>
        <w:rPr>
          <w:rFonts w:eastAsiaTheme="minorEastAsia"/>
        </w:rPr>
        <w:t>is</w:t>
      </w:r>
      <w:proofErr w:type="gramEnd"/>
      <w:r>
        <w:rPr>
          <w:rFonts w:eastAsiaTheme="minorEastAsia"/>
        </w:rPr>
        <w:t xml:space="preserve"> the response variable. </w:t>
      </w:r>
      <w:proofErr w:type="spellStart"/>
      <w:r w:rsidRPr="000D7295">
        <w:rPr>
          <w:rFonts w:eastAsiaTheme="minorEastAsia"/>
        </w:rPr>
        <w:t>Beggs</w:t>
      </w:r>
      <w:proofErr w:type="spellEnd"/>
      <w:r w:rsidRPr="000D7295">
        <w:rPr>
          <w:rFonts w:eastAsiaTheme="minorEastAsia"/>
        </w:rPr>
        <w:t xml:space="preserve"> and </w:t>
      </w:r>
      <w:proofErr w:type="spellStart"/>
      <w:r w:rsidRPr="000D7295">
        <w:rPr>
          <w:rFonts w:eastAsiaTheme="minorEastAsia"/>
        </w:rPr>
        <w:t>Graddy</w:t>
      </w:r>
      <w:proofErr w:type="spellEnd"/>
      <w:r w:rsidRPr="000D7295">
        <w:rPr>
          <w:rFonts w:eastAsiaTheme="minorEastAsia"/>
        </w:rPr>
        <w:t xml:space="preserve">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 an indicator for whether the item sells (which involves a </w:t>
      </w:r>
      <w:proofErr w:type="spellStart"/>
      <w:r w:rsidRPr="000D7295">
        <w:rPr>
          <w:rFonts w:eastAsiaTheme="minorEastAsia"/>
        </w:rPr>
        <w:t>probit</w:t>
      </w:r>
      <w:proofErr w:type="spellEnd"/>
      <w:r w:rsidRPr="000D7295">
        <w:rPr>
          <w:rFonts w:eastAsiaTheme="minorEastAsia"/>
        </w:rPr>
        <w:t xml:space="preserve"> transformation), or the presale estimate.</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6E6041" w:rsidP="00807E66">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t>
      </w:r>
      <w:proofErr w:type="gramStart"/>
      <w:r w:rsidR="00BB4D22">
        <w:rPr>
          <w:rFonts w:eastAsiaTheme="minorEastAsia"/>
        </w:rPr>
        <w:t>is</w:t>
      </w:r>
      <w:proofErr w:type="gramEnd"/>
      <w:r w:rsidR="00BB4D22">
        <w:rPr>
          <w:rFonts w:eastAsiaTheme="minorEastAsia"/>
        </w:rPr>
        <w:t xml:space="preserve"> the current hedonic </w:t>
      </w:r>
      <w:r w:rsidR="00B94F7F">
        <w:rPr>
          <w:rFonts w:eastAsiaTheme="minorEastAsia"/>
        </w:rPr>
        <w:t>valuation</w:t>
      </w:r>
      <w:r w:rsidR="00A50E30">
        <w:rPr>
          <w:rFonts w:eastAsiaTheme="minorEastAsia"/>
        </w:rPr>
        <w:t xml:space="preserve"> of bidders</w:t>
      </w:r>
      <w:r w:rsidR="00396D00">
        <w:rPr>
          <w:rFonts w:eastAsiaTheme="minorEastAsia"/>
        </w:rPr>
        <w:t xml:space="preserve">, i.e. the hedonic </w:t>
      </w:r>
      <w:r w:rsidR="005D49A1">
        <w:rPr>
          <w:rFonts w:eastAsiaTheme="minorEastAsia"/>
        </w:rPr>
        <w:t>price prediction in the current period</w:t>
      </w:r>
      <m:oMath>
        <m:r>
          <w:rPr>
            <w:rFonts w:ascii="Cambria Math" w:eastAsiaTheme="minorEastAsia" w:hAnsi="Cambria Math"/>
          </w:rPr>
          <m:t xml:space="preserve"> t</m:t>
        </m:r>
      </m:oMath>
      <w:r w:rsidR="00396D00">
        <w:rPr>
          <w:rFonts w:eastAsiaTheme="minorEastAsia"/>
        </w:rPr>
        <w:t xml:space="preserve">. </w:t>
      </w:r>
      <w:r w:rsidR="008C6B0D">
        <w:rPr>
          <w:rFonts w:eastAsiaTheme="minorEastAsia"/>
        </w:rPr>
        <w:t xml:space="preserve">To </w:t>
      </w:r>
      <w:r w:rsidR="00FE45FB">
        <w:rPr>
          <w:rFonts w:eastAsiaTheme="minorEastAsia"/>
        </w:rPr>
        <w:t>detect</w:t>
      </w:r>
      <w:r w:rsidR="002D02F5">
        <w:rPr>
          <w:rFonts w:eastAsiaTheme="minorEastAsia"/>
        </w:rPr>
        <w:t xml:space="preserve"> anchoring effects, </w:t>
      </w:r>
      <w:r w:rsidR="00BF6EF5">
        <w:rPr>
          <w:rFonts w:eastAsiaTheme="minorEastAsia"/>
        </w:rPr>
        <w:t>hedonic</w:t>
      </w:r>
      <w:r w:rsidR="00271A01">
        <w:rPr>
          <w:rFonts w:eastAsiaTheme="minorEastAsia"/>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Pr>
          <w:rFonts w:eastAsiaTheme="minorEastAsia"/>
        </w:rPr>
        <w:t xml:space="preserve"> must be </w:t>
      </w:r>
      <w:r w:rsidR="00A75041">
        <w:rPr>
          <w:rFonts w:eastAsiaTheme="minorEastAsia"/>
        </w:rPr>
        <w:lastRenderedPageBreak/>
        <w:t xml:space="preserve">controlled for. </w:t>
      </w:r>
      <w:r w:rsidR="00534B28">
        <w:rPr>
          <w:rFonts w:eastAsiaTheme="minorEastAsia"/>
        </w:rPr>
        <w:t xml:space="preserve">Otherwise, </w:t>
      </w:r>
      <w:r w:rsidR="00006C2A">
        <w:rPr>
          <w:rFonts w:eastAsiaTheme="minorEastAsia"/>
        </w:rPr>
        <w:t xml:space="preserve">one would not be able to separate </w:t>
      </w:r>
      <w:r w:rsidR="00C77179">
        <w:rPr>
          <w:rFonts w:eastAsiaTheme="minorEastAsia"/>
        </w:rPr>
        <w:t xml:space="preserve">hedonic and non-hedonic </w:t>
      </w:r>
      <w:r w:rsidR="009A517F">
        <w:rPr>
          <w:rFonts w:eastAsiaTheme="minorEastAsia"/>
        </w:rPr>
        <w:t xml:space="preserve">drivers </w:t>
      </w:r>
      <w:r w:rsidR="004C1083">
        <w:rPr>
          <w:rFonts w:eastAsiaTheme="minorEastAsia"/>
        </w:rPr>
        <w:t>in the current period.</w:t>
      </w:r>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w:t>
      </w:r>
      <w:proofErr w:type="gramStart"/>
      <w:r w:rsidR="00432B54">
        <w:rPr>
          <w:rFonts w:eastAsiaTheme="minorEastAsia"/>
        </w:rPr>
        <w:t>identifies</w:t>
      </w:r>
      <w:proofErr w:type="gramEnd"/>
      <w:r w:rsidR="00432B54">
        <w:rPr>
          <w:rFonts w:eastAsiaTheme="minorEastAsia"/>
        </w:rPr>
        <w:t xml:space="preserve"> the </w:t>
      </w:r>
      <w:r w:rsidR="00D811D4">
        <w:rPr>
          <w:rFonts w:eastAsiaTheme="minorEastAsia"/>
        </w:rPr>
        <w:t>anchoring effect</w:t>
      </w:r>
      <w:r w:rsidR="00537ED9">
        <w:rPr>
          <w:rFonts w:eastAsiaTheme="minorEastAsia"/>
        </w:rPr>
        <w:t>.</w:t>
      </w:r>
      <w:r w:rsidR="007D50E4">
        <w:rPr>
          <w:rFonts w:eastAsiaTheme="minorEastAsia"/>
        </w:rPr>
        <w:t xml:space="preserve"> This specifies how past </w:t>
      </w:r>
      <w:r w:rsidR="005B5D33">
        <w:rPr>
          <w:rFonts w:eastAsiaTheme="minorEastAsia"/>
        </w:rPr>
        <w:t xml:space="preserve">hammer </w:t>
      </w:r>
      <w:r w:rsidR="007D50E4">
        <w:rPr>
          <w:rFonts w:eastAsiaTheme="minorEastAsia"/>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Pr>
          <w:rFonts w:eastAsiaTheme="minorEastAsia"/>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Pr>
          <w:rFonts w:eastAsiaTheme="minorEastAsia"/>
        </w:rPr>
        <w:t>, the</w:t>
      </w:r>
      <w:r w:rsidR="007D50E4">
        <w:rPr>
          <w:rFonts w:eastAsiaTheme="minorEastAsia"/>
        </w:rPr>
        <w:t xml:space="preserve"> current hedonic valuations of bidders</w:t>
      </w:r>
      <w:r w:rsidR="000A7FF8">
        <w:rPr>
          <w:rFonts w:eastAsiaTheme="minorEastAsia"/>
        </w:rPr>
        <w:t xml:space="preserve">. </w:t>
      </w:r>
      <w:r w:rsidR="00504790">
        <w:rPr>
          <w:rFonts w:eastAsiaTheme="minorEastAsia"/>
        </w:rPr>
        <w:t>Since we have already controlled for the latter,</w:t>
      </w:r>
      <w:r w:rsidR="007D2F18">
        <w:rPr>
          <w:rFonts w:eastAsiaTheme="minorEastAsia"/>
        </w:rPr>
        <w:t xml:space="preserve"> </w:t>
      </w:r>
      <w:r w:rsidR="00214C8B">
        <w:rPr>
          <w:rFonts w:eastAsiaTheme="minorEastAsia"/>
        </w:rPr>
        <w:t xml:space="preserve">as well </w:t>
      </w:r>
      <w:r w:rsidR="00776586">
        <w:rPr>
          <w:rFonts w:eastAsiaTheme="minorEastAsia"/>
        </w:rPr>
        <w:t xml:space="preserve">as non-hedonic </w:t>
      </w:r>
      <w:r w:rsidR="00A530DC">
        <w:rPr>
          <w:rFonts w:eastAsiaTheme="minorEastAsia"/>
        </w:rPr>
        <w:t xml:space="preserve">components of past price that </w:t>
      </w:r>
      <w:r w:rsidR="00C80AB4">
        <w:rPr>
          <w:rFonts w:eastAsiaTheme="minorEastAsia"/>
        </w:rPr>
        <w:t xml:space="preserve">could possibly </w:t>
      </w:r>
      <w:r w:rsidR="00F54028">
        <w:rPr>
          <w:rFonts w:eastAsiaTheme="minorEastAsia"/>
        </w:rPr>
        <w:t>affect current price</w:t>
      </w:r>
      <w:r w:rsidR="00351CFF">
        <w:rPr>
          <w:rFonts w:eastAsiaTheme="minorEastAsia"/>
        </w:rPr>
        <w:t xml:space="preserve">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351CFF">
        <w:rPr>
          <w:rFonts w:eastAsiaTheme="minorEastAsia"/>
        </w:rPr>
        <w:t xml:space="preserve"> below)</w:t>
      </w:r>
      <w:r w:rsidR="00FE54E1">
        <w:rPr>
          <w:rFonts w:eastAsiaTheme="minorEastAsia"/>
        </w:rPr>
        <w:t xml:space="preserve">, </w:t>
      </w:r>
      <w:r w:rsidR="005E5A01">
        <w:rPr>
          <w:rFonts w:eastAsiaTheme="minorEastAsia"/>
        </w:rPr>
        <w:t xml:space="preserve">this term </w:t>
      </w:r>
      <w:r w:rsidR="0061232E">
        <w:rPr>
          <w:rFonts w:eastAsiaTheme="minorEastAsia"/>
        </w:rPr>
        <w:t>measures the ext</w:t>
      </w:r>
      <w:r w:rsidR="00E136FD">
        <w:rPr>
          <w:rFonts w:eastAsiaTheme="minorEastAsia"/>
        </w:rPr>
        <w:t xml:space="preserve">ent to which past price </w:t>
      </w:r>
      <w:r w:rsidR="00CB3AB8">
        <w:rPr>
          <w:rFonts w:eastAsiaTheme="minorEastAsia"/>
        </w:rPr>
        <w:t xml:space="preserve">irrelevantly </w:t>
      </w:r>
      <w:r w:rsidR="003E58F7">
        <w:rPr>
          <w:rFonts w:eastAsiaTheme="minorEastAsia"/>
        </w:rPr>
        <w:t>impacts current price.</w:t>
      </w:r>
      <w:r w:rsidR="00F77C93">
        <w:rPr>
          <w:rFonts w:eastAsiaTheme="minorEastAsia"/>
        </w:rPr>
        <w:t xml:space="preserve"> </w:t>
      </w:r>
    </w:p>
    <w:p w:rsidR="007D50E4" w:rsidRDefault="006C4F95" w:rsidP="000D7295">
      <w:pPr>
        <w:pStyle w:val="ListParagraph"/>
        <w:numPr>
          <w:ilvl w:val="0"/>
          <w:numId w:val="1"/>
        </w:numPr>
        <w:spacing w:line="480" w:lineRule="auto"/>
        <w:jc w:val="bot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Pr>
          <w:rFonts w:eastAsiaTheme="minorEastAsia"/>
        </w:rPr>
        <w:t xml:space="preserve"> </w:t>
      </w:r>
      <w:proofErr w:type="gramStart"/>
      <w:r w:rsidR="00D95739">
        <w:rPr>
          <w:rFonts w:eastAsiaTheme="minorEastAsia"/>
        </w:rPr>
        <w:t>is</w:t>
      </w:r>
      <w:proofErr w:type="gramEnd"/>
      <w:r w:rsidR="00D95739">
        <w:rPr>
          <w:rFonts w:eastAsiaTheme="minorEastAsia"/>
        </w:rPr>
        <w:t xml:space="preserve"> the past residual</w:t>
      </w:r>
      <w:r w:rsidR="00285B7D">
        <w:rPr>
          <w:rFonts w:eastAsiaTheme="minorEastAsia"/>
        </w:rPr>
        <w:t>, i.e.</w:t>
      </w:r>
      <w:r w:rsidR="002557DE">
        <w:rPr>
          <w:rFonts w:eastAsiaTheme="minorEastAsia"/>
        </w:rPr>
        <w:t xml:space="preserve"> non-hedonic inputs into past price</w:t>
      </w:r>
      <w:r w:rsidR="00D95739">
        <w:rPr>
          <w:rFonts w:eastAsiaTheme="minorEastAsia"/>
        </w:rPr>
        <w:t xml:space="preserve">. </w:t>
      </w:r>
      <w:r w:rsidR="00974CDF">
        <w:rPr>
          <w:rFonts w:eastAsiaTheme="minorEastAsia"/>
        </w:rPr>
        <w:t xml:space="preserve">This controls </w:t>
      </w:r>
      <w:r w:rsidR="00CD29C0">
        <w:rPr>
          <w:rFonts w:eastAsiaTheme="minorEastAsia"/>
        </w:rPr>
        <w:t xml:space="preserve">for any </w:t>
      </w:r>
      <w:r w:rsidR="00730FBE">
        <w:rPr>
          <w:rFonts w:eastAsiaTheme="minorEastAsia"/>
        </w:rPr>
        <w:t>other</w:t>
      </w:r>
      <w:r w:rsidR="00BD15CF">
        <w:rPr>
          <w:rFonts w:eastAsiaTheme="minorEastAsia"/>
        </w:rPr>
        <w:t xml:space="preserve"> components of</w:t>
      </w:r>
      <w:r w:rsidR="00730FBE">
        <w:rPr>
          <w:rFonts w:eastAsiaTheme="minorEastAsia"/>
        </w:rPr>
        <w:t xml:space="preserve"> pas</w:t>
      </w:r>
      <w:r w:rsidR="001561C8">
        <w:rPr>
          <w:rFonts w:eastAsiaTheme="minorEastAsia"/>
        </w:rPr>
        <w:t>t price that could, con</w:t>
      </w:r>
      <w:r w:rsidR="00392A2F">
        <w:rPr>
          <w:rFonts w:eastAsiaTheme="minorEastAsia"/>
        </w:rPr>
        <w:t>ceivably, affect current price.</w:t>
      </w:r>
      <w:r w:rsidR="008B1FDC">
        <w:rPr>
          <w:rStyle w:val="FootnoteReference"/>
        </w:rPr>
        <w:footnoteReference w:id="6"/>
      </w:r>
      <w:r w:rsidR="002557DE">
        <w:rPr>
          <w:rFonts w:eastAsiaTheme="minorEastAsia"/>
        </w:rPr>
        <w:t xml:space="preserve"> </w:t>
      </w:r>
      <w:r w:rsidR="00144942" w:rsidRPr="000D7295">
        <w:rPr>
          <w:rFonts w:eastAsiaTheme="minorEastAsia"/>
        </w:rPr>
        <w:t xml:space="preserve">For example, if the past price was not only a function of the painting’s hedonic characteristics, but was also a function of </w:t>
      </w:r>
      <w:r w:rsidR="00BD30D9">
        <w:rPr>
          <w:rFonts w:eastAsiaTheme="minorEastAsia"/>
        </w:rPr>
        <w:t>bidder excitement</w:t>
      </w:r>
      <w:r w:rsidR="00144942" w:rsidRPr="000D7295">
        <w:rPr>
          <w:rFonts w:eastAsiaTheme="minorEastAsia"/>
        </w:rPr>
        <w:t xml:space="preserve"> at the time, </w:t>
      </w:r>
      <w:r w:rsidR="002662DD">
        <w:rPr>
          <w:rFonts w:eastAsiaTheme="minorEastAsia"/>
        </w:rPr>
        <w:t xml:space="preserve">that </w:t>
      </w:r>
      <w:r w:rsidR="00144942" w:rsidRPr="000D7295">
        <w:rPr>
          <w:rFonts w:eastAsiaTheme="minorEastAsia"/>
        </w:rPr>
        <w:t>will be controlled for in</w:t>
      </w:r>
      <w:r w:rsidR="00144942">
        <w:rPr>
          <w:rFonts w:eastAsiaTheme="minorEastAsia"/>
        </w:rPr>
        <w:t xml:space="preserve"> this term.</w:t>
      </w:r>
    </w:p>
    <w:p w:rsidR="00E77FF9" w:rsidRDefault="00E77FF9" w:rsidP="00557766">
      <w:pPr>
        <w:spacing w:line="480" w:lineRule="auto"/>
        <w:ind w:firstLine="0"/>
        <w:jc w:val="both"/>
        <w:rPr>
          <w:rFonts w:eastAsiaTheme="minorEastAsia"/>
        </w:rPr>
      </w:pPr>
    </w:p>
    <w:p w:rsidR="00892D38" w:rsidRPr="000D7295" w:rsidRDefault="007A68DC" w:rsidP="007F3223">
      <w:pPr>
        <w:spacing w:line="480" w:lineRule="auto"/>
        <w:ind w:firstLine="0"/>
        <w:jc w:val="both"/>
        <w:rPr>
          <w:rFonts w:eastAsiaTheme="minorEastAsia"/>
        </w:rPr>
      </w:pPr>
      <w:r w:rsidRPr="000D7295">
        <w:rPr>
          <w:rFonts w:eastAsiaTheme="minorEastAsia"/>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w:t>
      </w:r>
      <w:r w:rsidRPr="000D7295">
        <w:rPr>
          <w:rFonts w:eastAsiaTheme="minorEastAsia"/>
        </w:rPr>
        <w:lastRenderedPageBreak/>
        <w:t>the absence of other predictors. 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w:t>
      </w:r>
      <w:bookmarkStart w:id="0" w:name="_GoBack"/>
      <w:bookmarkEnd w:id="0"/>
      <w:r>
        <w:rPr>
          <w:rFonts w:eastAsiaTheme="minorEastAsia"/>
        </w:rPr>
        <w:t xml:space="preserv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This gives us a 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lastRenderedPageBreak/>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7"/>
      </w:r>
      <w:r w:rsidRPr="00663A2E">
        <w:rPr>
          <w:rFonts w:eastAsiaTheme="minorEastAsia"/>
        </w:rPr>
        <w:t>. Then our second regression is:</w:t>
      </w:r>
    </w:p>
    <w:p w:rsidR="007A68DC" w:rsidRPr="00663A2E" w:rsidRDefault="00FB3C2A"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w:t>
      </w:r>
      <w:proofErr w:type="spellStart"/>
      <w:r>
        <w:rPr>
          <w:rFonts w:eastAsiaTheme="minorEastAsia"/>
        </w:rPr>
        <w:t>ll</w:t>
      </w:r>
      <w:proofErr w:type="spellEnd"/>
      <w:r>
        <w:rPr>
          <w:rFonts w:eastAsiaTheme="minorEastAsia"/>
        </w:rPr>
        <w:t xml:space="preserve">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w:t>
      </w:r>
      <w:r>
        <w:rPr>
          <w:rFonts w:eastAsiaTheme="minorEastAsia"/>
        </w:rPr>
        <w:lastRenderedPageBreak/>
        <w:t>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FB3C2A"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FB3C2A"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xml:space="preser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w:t>
      </w:r>
      <w:proofErr w:type="spellStart"/>
      <w:r>
        <w:rPr>
          <w:rFonts w:eastAsiaTheme="minorEastAsia"/>
        </w:rPr>
        <w:t>ution</w:t>
      </w:r>
      <w:proofErr w:type="spellEnd"/>
      <w:r>
        <w:rPr>
          <w:rFonts w:eastAsiaTheme="minorEastAsia"/>
        </w:rPr>
        <w:t>.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w:t>
      </w:r>
      <w:proofErr w:type="spellStart"/>
      <w:r w:rsidR="00DC3983">
        <w:rPr>
          <w:rFonts w:eastAsiaTheme="minorEastAsia"/>
        </w:rPr>
        <w:t>Beggs</w:t>
      </w:r>
      <w:proofErr w:type="spellEnd"/>
      <w:r w:rsidR="00DC3983">
        <w:rPr>
          <w:rFonts w:eastAsiaTheme="minorEastAsia"/>
        </w:rPr>
        <w:t xml:space="preserve"> &amp; </w:t>
      </w:r>
      <w:proofErr w:type="spellStart"/>
      <w:r w:rsidR="00DC3983">
        <w:rPr>
          <w:rFonts w:eastAsiaTheme="minorEastAsia"/>
        </w:rPr>
        <w:t>Graddy</w:t>
      </w:r>
      <w:proofErr w:type="spellEnd"/>
      <w:r w:rsidR="007D3457">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lastRenderedPageBreak/>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
      </w:r>
      <w:r>
        <w:rPr>
          <w:rFonts w:eastAsiaTheme="minorEastAsia"/>
        </w:rPr>
        <w:t>:</w:t>
      </w:r>
    </w:p>
    <w:p w:rsidR="007A68DC" w:rsidRPr="00394F5F" w:rsidRDefault="00FB3C2A"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xml:space="preserve">. This is </w:t>
      </w:r>
      <w:r>
        <w:rPr>
          <w:rFonts w:eastAsiaTheme="minorEastAsia"/>
        </w:rPr>
        <w:lastRenderedPageBreak/>
        <w:t>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9"/>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w:t>
      </w:r>
      <w:proofErr w:type="spellStart"/>
      <w:r>
        <w:rPr>
          <w:rFonts w:eastAsiaTheme="minorEastAsia"/>
        </w:rPr>
        <w:t>edonic</w:t>
      </w:r>
      <w:proofErr w:type="spellEnd"/>
      <w:r>
        <w:rPr>
          <w:rFonts w:eastAsiaTheme="minorEastAsia"/>
        </w:rPr>
        <w:t xml:space="preser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FB3C2A"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10"/>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w:t>
      </w:r>
      <w:r w:rsidR="00303ED1">
        <w:rPr>
          <w:rFonts w:eastAsiaTheme="minorEastAsia"/>
        </w:rPr>
        <w:lastRenderedPageBreak/>
        <w:t>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467D5E">
        <w:rPr>
          <w:rFonts w:eastAsiaTheme="minorEastAsia"/>
        </w:rPr>
        <w:t>discover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C2A" w:rsidRDefault="00FB3C2A" w:rsidP="007A68DC">
      <w:pPr>
        <w:spacing w:line="240" w:lineRule="auto"/>
      </w:pPr>
      <w:r>
        <w:separator/>
      </w:r>
    </w:p>
  </w:endnote>
  <w:endnote w:type="continuationSeparator" w:id="0">
    <w:p w:rsidR="00FB3C2A" w:rsidRDefault="00FB3C2A"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C2A" w:rsidRDefault="00FB3C2A" w:rsidP="007A68DC">
      <w:pPr>
        <w:spacing w:line="240" w:lineRule="auto"/>
      </w:pPr>
      <w:r>
        <w:separator/>
      </w:r>
    </w:p>
  </w:footnote>
  <w:footnote w:type="continuationSeparator" w:id="0">
    <w:p w:rsidR="00FB3C2A" w:rsidRDefault="00FB3C2A"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B1FDC" w:rsidRDefault="008B1FDC" w:rsidP="008B1FDC">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w:t>
      </w:r>
      <w:r w:rsidR="00E2107D">
        <w:t>reputation</w:t>
      </w:r>
      <w:r>
        <w:t xml:space="preserve"> is not an intrinsic property of an art piece. </w:t>
      </w:r>
    </w:p>
  </w:footnote>
  <w:footnote w:id="7">
    <w:p w:rsidR="00833048" w:rsidRDefault="00833048"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9">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10">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C2A"/>
    <w:rsid w:val="00015DC7"/>
    <w:rsid w:val="000178BA"/>
    <w:rsid w:val="00024ECB"/>
    <w:rsid w:val="00026386"/>
    <w:rsid w:val="0003267F"/>
    <w:rsid w:val="0004271E"/>
    <w:rsid w:val="00044CD8"/>
    <w:rsid w:val="00052CFA"/>
    <w:rsid w:val="000545A0"/>
    <w:rsid w:val="000554E3"/>
    <w:rsid w:val="000615EC"/>
    <w:rsid w:val="000621ED"/>
    <w:rsid w:val="000662D6"/>
    <w:rsid w:val="0007111F"/>
    <w:rsid w:val="00072B78"/>
    <w:rsid w:val="00074AB0"/>
    <w:rsid w:val="00082D52"/>
    <w:rsid w:val="000839F9"/>
    <w:rsid w:val="00092A2D"/>
    <w:rsid w:val="00096552"/>
    <w:rsid w:val="00096AC2"/>
    <w:rsid w:val="000A7FF8"/>
    <w:rsid w:val="000B143C"/>
    <w:rsid w:val="000B691C"/>
    <w:rsid w:val="000B6A66"/>
    <w:rsid w:val="000C02E0"/>
    <w:rsid w:val="000C08C2"/>
    <w:rsid w:val="000D4776"/>
    <w:rsid w:val="000D7295"/>
    <w:rsid w:val="000E4793"/>
    <w:rsid w:val="000F0FC8"/>
    <w:rsid w:val="000F7A6F"/>
    <w:rsid w:val="00100815"/>
    <w:rsid w:val="00101A78"/>
    <w:rsid w:val="00105105"/>
    <w:rsid w:val="00115977"/>
    <w:rsid w:val="00115D22"/>
    <w:rsid w:val="00116187"/>
    <w:rsid w:val="001217AA"/>
    <w:rsid w:val="00122C0B"/>
    <w:rsid w:val="001257BE"/>
    <w:rsid w:val="00127F49"/>
    <w:rsid w:val="00137EFE"/>
    <w:rsid w:val="00144942"/>
    <w:rsid w:val="00145751"/>
    <w:rsid w:val="00145CB1"/>
    <w:rsid w:val="00151D68"/>
    <w:rsid w:val="001561C8"/>
    <w:rsid w:val="00163031"/>
    <w:rsid w:val="00171466"/>
    <w:rsid w:val="00180DE3"/>
    <w:rsid w:val="00194EBA"/>
    <w:rsid w:val="001A070B"/>
    <w:rsid w:val="001A144A"/>
    <w:rsid w:val="001A670E"/>
    <w:rsid w:val="001B0394"/>
    <w:rsid w:val="001C119F"/>
    <w:rsid w:val="001C226C"/>
    <w:rsid w:val="001E05BB"/>
    <w:rsid w:val="001E265E"/>
    <w:rsid w:val="001E7269"/>
    <w:rsid w:val="001F13BA"/>
    <w:rsid w:val="001F1EB9"/>
    <w:rsid w:val="001F61B9"/>
    <w:rsid w:val="001F6466"/>
    <w:rsid w:val="001F68FC"/>
    <w:rsid w:val="00205514"/>
    <w:rsid w:val="00206A8D"/>
    <w:rsid w:val="00214C8B"/>
    <w:rsid w:val="00222274"/>
    <w:rsid w:val="00222CBF"/>
    <w:rsid w:val="00225120"/>
    <w:rsid w:val="00225C5F"/>
    <w:rsid w:val="00235D99"/>
    <w:rsid w:val="00235F11"/>
    <w:rsid w:val="00240CCD"/>
    <w:rsid w:val="00240F62"/>
    <w:rsid w:val="00240F81"/>
    <w:rsid w:val="00242860"/>
    <w:rsid w:val="00243647"/>
    <w:rsid w:val="0024690C"/>
    <w:rsid w:val="002515DC"/>
    <w:rsid w:val="00253F6B"/>
    <w:rsid w:val="002557DE"/>
    <w:rsid w:val="002662DD"/>
    <w:rsid w:val="00271A01"/>
    <w:rsid w:val="002748F8"/>
    <w:rsid w:val="00275B70"/>
    <w:rsid w:val="00285B7D"/>
    <w:rsid w:val="00287869"/>
    <w:rsid w:val="00294283"/>
    <w:rsid w:val="002942F6"/>
    <w:rsid w:val="002A5458"/>
    <w:rsid w:val="002B6124"/>
    <w:rsid w:val="002B7A4E"/>
    <w:rsid w:val="002C0679"/>
    <w:rsid w:val="002C3BA2"/>
    <w:rsid w:val="002D02F5"/>
    <w:rsid w:val="002D0DCC"/>
    <w:rsid w:val="002D1BCC"/>
    <w:rsid w:val="002D68D3"/>
    <w:rsid w:val="002D7C4B"/>
    <w:rsid w:val="002E01A0"/>
    <w:rsid w:val="002E224F"/>
    <w:rsid w:val="002F26ED"/>
    <w:rsid w:val="002F49B9"/>
    <w:rsid w:val="003015DD"/>
    <w:rsid w:val="003028DF"/>
    <w:rsid w:val="00303ED1"/>
    <w:rsid w:val="00307A7C"/>
    <w:rsid w:val="003113A5"/>
    <w:rsid w:val="00317E92"/>
    <w:rsid w:val="00330BEA"/>
    <w:rsid w:val="00331958"/>
    <w:rsid w:val="003319F1"/>
    <w:rsid w:val="00333826"/>
    <w:rsid w:val="00333C7A"/>
    <w:rsid w:val="00351CFF"/>
    <w:rsid w:val="003533AF"/>
    <w:rsid w:val="0035661B"/>
    <w:rsid w:val="00380A7D"/>
    <w:rsid w:val="003827FE"/>
    <w:rsid w:val="003861B8"/>
    <w:rsid w:val="0039162D"/>
    <w:rsid w:val="0039245A"/>
    <w:rsid w:val="00392A2F"/>
    <w:rsid w:val="00396892"/>
    <w:rsid w:val="00396D00"/>
    <w:rsid w:val="003A3600"/>
    <w:rsid w:val="003A6B2A"/>
    <w:rsid w:val="003B1476"/>
    <w:rsid w:val="003C6FE2"/>
    <w:rsid w:val="003E15DE"/>
    <w:rsid w:val="003E58F7"/>
    <w:rsid w:val="003F5640"/>
    <w:rsid w:val="003F5D70"/>
    <w:rsid w:val="00414426"/>
    <w:rsid w:val="004176AC"/>
    <w:rsid w:val="0042297B"/>
    <w:rsid w:val="004254CF"/>
    <w:rsid w:val="00432B54"/>
    <w:rsid w:val="004346AC"/>
    <w:rsid w:val="0044016E"/>
    <w:rsid w:val="00440699"/>
    <w:rsid w:val="00447EAF"/>
    <w:rsid w:val="00464348"/>
    <w:rsid w:val="00467D5E"/>
    <w:rsid w:val="004912FA"/>
    <w:rsid w:val="00497A7F"/>
    <w:rsid w:val="004A0868"/>
    <w:rsid w:val="004A3B16"/>
    <w:rsid w:val="004A6BC3"/>
    <w:rsid w:val="004B3F23"/>
    <w:rsid w:val="004B7E27"/>
    <w:rsid w:val="004C1083"/>
    <w:rsid w:val="004D1569"/>
    <w:rsid w:val="004D3CDC"/>
    <w:rsid w:val="004E09CB"/>
    <w:rsid w:val="004E11FD"/>
    <w:rsid w:val="004E15AC"/>
    <w:rsid w:val="004E2940"/>
    <w:rsid w:val="004E38EF"/>
    <w:rsid w:val="004E40E6"/>
    <w:rsid w:val="004E6190"/>
    <w:rsid w:val="004F40D2"/>
    <w:rsid w:val="004F4E6F"/>
    <w:rsid w:val="004F54DC"/>
    <w:rsid w:val="004F6FD5"/>
    <w:rsid w:val="00504790"/>
    <w:rsid w:val="00510053"/>
    <w:rsid w:val="00511B14"/>
    <w:rsid w:val="0051253E"/>
    <w:rsid w:val="00515126"/>
    <w:rsid w:val="00520ECD"/>
    <w:rsid w:val="005234B6"/>
    <w:rsid w:val="0052712B"/>
    <w:rsid w:val="00532180"/>
    <w:rsid w:val="00534B28"/>
    <w:rsid w:val="00537651"/>
    <w:rsid w:val="00537ED9"/>
    <w:rsid w:val="0054137A"/>
    <w:rsid w:val="00557766"/>
    <w:rsid w:val="005604E2"/>
    <w:rsid w:val="00565F8D"/>
    <w:rsid w:val="00570FEA"/>
    <w:rsid w:val="005730C7"/>
    <w:rsid w:val="005738F9"/>
    <w:rsid w:val="00575590"/>
    <w:rsid w:val="00586250"/>
    <w:rsid w:val="00586DF2"/>
    <w:rsid w:val="00593B1E"/>
    <w:rsid w:val="00594078"/>
    <w:rsid w:val="00594213"/>
    <w:rsid w:val="00594EA9"/>
    <w:rsid w:val="005970A6"/>
    <w:rsid w:val="00597CA3"/>
    <w:rsid w:val="005A12FD"/>
    <w:rsid w:val="005A4CB4"/>
    <w:rsid w:val="005B5D33"/>
    <w:rsid w:val="005C4B17"/>
    <w:rsid w:val="005D49A1"/>
    <w:rsid w:val="005D6396"/>
    <w:rsid w:val="005D7FC3"/>
    <w:rsid w:val="005E2335"/>
    <w:rsid w:val="005E5A01"/>
    <w:rsid w:val="005F084E"/>
    <w:rsid w:val="005F5F75"/>
    <w:rsid w:val="005F67BC"/>
    <w:rsid w:val="005F6FB3"/>
    <w:rsid w:val="005F75C3"/>
    <w:rsid w:val="00601643"/>
    <w:rsid w:val="0061232E"/>
    <w:rsid w:val="00615778"/>
    <w:rsid w:val="00624F06"/>
    <w:rsid w:val="006265F3"/>
    <w:rsid w:val="00626640"/>
    <w:rsid w:val="00632348"/>
    <w:rsid w:val="00640134"/>
    <w:rsid w:val="00642489"/>
    <w:rsid w:val="00642546"/>
    <w:rsid w:val="006434DA"/>
    <w:rsid w:val="00647C2C"/>
    <w:rsid w:val="006567CC"/>
    <w:rsid w:val="00657888"/>
    <w:rsid w:val="00660C34"/>
    <w:rsid w:val="00683008"/>
    <w:rsid w:val="00684B36"/>
    <w:rsid w:val="006868FE"/>
    <w:rsid w:val="00691AEC"/>
    <w:rsid w:val="00693162"/>
    <w:rsid w:val="006B02A6"/>
    <w:rsid w:val="006B1566"/>
    <w:rsid w:val="006B29DF"/>
    <w:rsid w:val="006B3FB3"/>
    <w:rsid w:val="006C430A"/>
    <w:rsid w:val="006C4F95"/>
    <w:rsid w:val="006E0C0A"/>
    <w:rsid w:val="006E136C"/>
    <w:rsid w:val="006E2D5C"/>
    <w:rsid w:val="006E6041"/>
    <w:rsid w:val="006F0473"/>
    <w:rsid w:val="006F386B"/>
    <w:rsid w:val="006F388D"/>
    <w:rsid w:val="006F6BD8"/>
    <w:rsid w:val="007012BE"/>
    <w:rsid w:val="0070223E"/>
    <w:rsid w:val="00702982"/>
    <w:rsid w:val="00705FB5"/>
    <w:rsid w:val="00717B7E"/>
    <w:rsid w:val="007245BD"/>
    <w:rsid w:val="00730FBE"/>
    <w:rsid w:val="00731175"/>
    <w:rsid w:val="0073518F"/>
    <w:rsid w:val="00745EA9"/>
    <w:rsid w:val="0074752A"/>
    <w:rsid w:val="00750B06"/>
    <w:rsid w:val="00751317"/>
    <w:rsid w:val="0075251E"/>
    <w:rsid w:val="00755E0C"/>
    <w:rsid w:val="00756520"/>
    <w:rsid w:val="00760FCF"/>
    <w:rsid w:val="007616BE"/>
    <w:rsid w:val="00771873"/>
    <w:rsid w:val="0077638D"/>
    <w:rsid w:val="00776586"/>
    <w:rsid w:val="007777B7"/>
    <w:rsid w:val="00782C93"/>
    <w:rsid w:val="007852F6"/>
    <w:rsid w:val="00796387"/>
    <w:rsid w:val="007A51CA"/>
    <w:rsid w:val="007A68DC"/>
    <w:rsid w:val="007A6E31"/>
    <w:rsid w:val="007C3450"/>
    <w:rsid w:val="007D27E5"/>
    <w:rsid w:val="007D2F18"/>
    <w:rsid w:val="007D3457"/>
    <w:rsid w:val="007D50E4"/>
    <w:rsid w:val="007D5FD3"/>
    <w:rsid w:val="007E0CFE"/>
    <w:rsid w:val="007E4A5A"/>
    <w:rsid w:val="007E63D8"/>
    <w:rsid w:val="007F3223"/>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460C"/>
    <w:rsid w:val="008718DC"/>
    <w:rsid w:val="008820DF"/>
    <w:rsid w:val="00884683"/>
    <w:rsid w:val="00887E4E"/>
    <w:rsid w:val="008905D2"/>
    <w:rsid w:val="00892D38"/>
    <w:rsid w:val="00893DC7"/>
    <w:rsid w:val="00896309"/>
    <w:rsid w:val="008A0B96"/>
    <w:rsid w:val="008A214C"/>
    <w:rsid w:val="008A66E0"/>
    <w:rsid w:val="008A6B1A"/>
    <w:rsid w:val="008B12AA"/>
    <w:rsid w:val="008B1B54"/>
    <w:rsid w:val="008B1DAE"/>
    <w:rsid w:val="008B1FDC"/>
    <w:rsid w:val="008B7EB5"/>
    <w:rsid w:val="008C303F"/>
    <w:rsid w:val="008C5309"/>
    <w:rsid w:val="008C6B0D"/>
    <w:rsid w:val="008D0D75"/>
    <w:rsid w:val="008D1B15"/>
    <w:rsid w:val="008D35CF"/>
    <w:rsid w:val="008D5B1B"/>
    <w:rsid w:val="008D6EDB"/>
    <w:rsid w:val="008F5B05"/>
    <w:rsid w:val="008F705E"/>
    <w:rsid w:val="008F7ED4"/>
    <w:rsid w:val="0090221E"/>
    <w:rsid w:val="00906170"/>
    <w:rsid w:val="0091084E"/>
    <w:rsid w:val="00921F40"/>
    <w:rsid w:val="009220C7"/>
    <w:rsid w:val="00925AE8"/>
    <w:rsid w:val="00925B7A"/>
    <w:rsid w:val="00926F50"/>
    <w:rsid w:val="00936F84"/>
    <w:rsid w:val="00946447"/>
    <w:rsid w:val="00950635"/>
    <w:rsid w:val="00955710"/>
    <w:rsid w:val="0096326A"/>
    <w:rsid w:val="00963D1E"/>
    <w:rsid w:val="0096791D"/>
    <w:rsid w:val="0097083E"/>
    <w:rsid w:val="0097340C"/>
    <w:rsid w:val="009734D2"/>
    <w:rsid w:val="00974AA6"/>
    <w:rsid w:val="00974CDF"/>
    <w:rsid w:val="00985FF8"/>
    <w:rsid w:val="00986DC8"/>
    <w:rsid w:val="009900BC"/>
    <w:rsid w:val="00990BDF"/>
    <w:rsid w:val="00996E09"/>
    <w:rsid w:val="009A444E"/>
    <w:rsid w:val="009A517F"/>
    <w:rsid w:val="009A572D"/>
    <w:rsid w:val="009B0874"/>
    <w:rsid w:val="009B262C"/>
    <w:rsid w:val="009B3959"/>
    <w:rsid w:val="009B5921"/>
    <w:rsid w:val="009D08CC"/>
    <w:rsid w:val="009D1F18"/>
    <w:rsid w:val="009D70BC"/>
    <w:rsid w:val="009E4C85"/>
    <w:rsid w:val="009E79A3"/>
    <w:rsid w:val="009F5142"/>
    <w:rsid w:val="009F5641"/>
    <w:rsid w:val="00A054AC"/>
    <w:rsid w:val="00A1135F"/>
    <w:rsid w:val="00A11380"/>
    <w:rsid w:val="00A1389E"/>
    <w:rsid w:val="00A2467E"/>
    <w:rsid w:val="00A27C46"/>
    <w:rsid w:val="00A40411"/>
    <w:rsid w:val="00A4267C"/>
    <w:rsid w:val="00A43B50"/>
    <w:rsid w:val="00A4660F"/>
    <w:rsid w:val="00A50E30"/>
    <w:rsid w:val="00A530DC"/>
    <w:rsid w:val="00A6285B"/>
    <w:rsid w:val="00A645E0"/>
    <w:rsid w:val="00A651E1"/>
    <w:rsid w:val="00A657C9"/>
    <w:rsid w:val="00A727A8"/>
    <w:rsid w:val="00A746E3"/>
    <w:rsid w:val="00A75041"/>
    <w:rsid w:val="00A755EF"/>
    <w:rsid w:val="00A82846"/>
    <w:rsid w:val="00A828F8"/>
    <w:rsid w:val="00A93C4A"/>
    <w:rsid w:val="00AC0058"/>
    <w:rsid w:val="00AD4461"/>
    <w:rsid w:val="00AD7C3C"/>
    <w:rsid w:val="00AE03C9"/>
    <w:rsid w:val="00AE51A3"/>
    <w:rsid w:val="00AF1FB4"/>
    <w:rsid w:val="00AF37FD"/>
    <w:rsid w:val="00B16FB2"/>
    <w:rsid w:val="00B21597"/>
    <w:rsid w:val="00B26550"/>
    <w:rsid w:val="00B44B1E"/>
    <w:rsid w:val="00B45B16"/>
    <w:rsid w:val="00B50C05"/>
    <w:rsid w:val="00B578A0"/>
    <w:rsid w:val="00B60C79"/>
    <w:rsid w:val="00B707CB"/>
    <w:rsid w:val="00B744DE"/>
    <w:rsid w:val="00B75D81"/>
    <w:rsid w:val="00B8236B"/>
    <w:rsid w:val="00B91285"/>
    <w:rsid w:val="00B92EA1"/>
    <w:rsid w:val="00B93BB9"/>
    <w:rsid w:val="00B94F7F"/>
    <w:rsid w:val="00BB1475"/>
    <w:rsid w:val="00BB3444"/>
    <w:rsid w:val="00BB4D22"/>
    <w:rsid w:val="00BC1AD4"/>
    <w:rsid w:val="00BC2B6B"/>
    <w:rsid w:val="00BD15CF"/>
    <w:rsid w:val="00BD30D9"/>
    <w:rsid w:val="00BE6DFD"/>
    <w:rsid w:val="00BF6EF5"/>
    <w:rsid w:val="00BF77E3"/>
    <w:rsid w:val="00BF7B21"/>
    <w:rsid w:val="00C05458"/>
    <w:rsid w:val="00C076F2"/>
    <w:rsid w:val="00C07958"/>
    <w:rsid w:val="00C1227A"/>
    <w:rsid w:val="00C144F0"/>
    <w:rsid w:val="00C16C3A"/>
    <w:rsid w:val="00C17468"/>
    <w:rsid w:val="00C17904"/>
    <w:rsid w:val="00C27A5C"/>
    <w:rsid w:val="00C327A8"/>
    <w:rsid w:val="00C36C75"/>
    <w:rsid w:val="00C412BB"/>
    <w:rsid w:val="00C45165"/>
    <w:rsid w:val="00C47EE5"/>
    <w:rsid w:val="00C50FF3"/>
    <w:rsid w:val="00C75CF6"/>
    <w:rsid w:val="00C77179"/>
    <w:rsid w:val="00C80AB4"/>
    <w:rsid w:val="00C857B1"/>
    <w:rsid w:val="00C85D1F"/>
    <w:rsid w:val="00C91C33"/>
    <w:rsid w:val="00C9245B"/>
    <w:rsid w:val="00C93F72"/>
    <w:rsid w:val="00CA44A3"/>
    <w:rsid w:val="00CA5120"/>
    <w:rsid w:val="00CB3A69"/>
    <w:rsid w:val="00CB3AB8"/>
    <w:rsid w:val="00CB3E1C"/>
    <w:rsid w:val="00CB4130"/>
    <w:rsid w:val="00CC32B3"/>
    <w:rsid w:val="00CC56C3"/>
    <w:rsid w:val="00CD29C0"/>
    <w:rsid w:val="00CD2EF3"/>
    <w:rsid w:val="00CD580D"/>
    <w:rsid w:val="00CE0531"/>
    <w:rsid w:val="00CF2F4D"/>
    <w:rsid w:val="00D03C86"/>
    <w:rsid w:val="00D06616"/>
    <w:rsid w:val="00D06EA4"/>
    <w:rsid w:val="00D110B7"/>
    <w:rsid w:val="00D17D36"/>
    <w:rsid w:val="00D2081B"/>
    <w:rsid w:val="00D21E06"/>
    <w:rsid w:val="00D21EB3"/>
    <w:rsid w:val="00D27798"/>
    <w:rsid w:val="00D27C8C"/>
    <w:rsid w:val="00D34576"/>
    <w:rsid w:val="00D43F01"/>
    <w:rsid w:val="00D474D2"/>
    <w:rsid w:val="00D574FC"/>
    <w:rsid w:val="00D66340"/>
    <w:rsid w:val="00D67C6B"/>
    <w:rsid w:val="00D811D4"/>
    <w:rsid w:val="00D81270"/>
    <w:rsid w:val="00D813F6"/>
    <w:rsid w:val="00D834E6"/>
    <w:rsid w:val="00D8622B"/>
    <w:rsid w:val="00D95739"/>
    <w:rsid w:val="00DA1F68"/>
    <w:rsid w:val="00DB4B6D"/>
    <w:rsid w:val="00DB558B"/>
    <w:rsid w:val="00DB5731"/>
    <w:rsid w:val="00DB65B6"/>
    <w:rsid w:val="00DC3983"/>
    <w:rsid w:val="00DF7ED7"/>
    <w:rsid w:val="00E00762"/>
    <w:rsid w:val="00E02E0F"/>
    <w:rsid w:val="00E0516D"/>
    <w:rsid w:val="00E136FD"/>
    <w:rsid w:val="00E14D4C"/>
    <w:rsid w:val="00E16FF4"/>
    <w:rsid w:val="00E2107D"/>
    <w:rsid w:val="00E21AC0"/>
    <w:rsid w:val="00E258CA"/>
    <w:rsid w:val="00E30B50"/>
    <w:rsid w:val="00E47E32"/>
    <w:rsid w:val="00E558A5"/>
    <w:rsid w:val="00E63CB7"/>
    <w:rsid w:val="00E656F0"/>
    <w:rsid w:val="00E70727"/>
    <w:rsid w:val="00E7279B"/>
    <w:rsid w:val="00E75A6A"/>
    <w:rsid w:val="00E76311"/>
    <w:rsid w:val="00E77FF9"/>
    <w:rsid w:val="00E8139E"/>
    <w:rsid w:val="00E82A7B"/>
    <w:rsid w:val="00E83B88"/>
    <w:rsid w:val="00E90D19"/>
    <w:rsid w:val="00E92584"/>
    <w:rsid w:val="00EA10BE"/>
    <w:rsid w:val="00EA37A2"/>
    <w:rsid w:val="00EA4B3B"/>
    <w:rsid w:val="00EA5658"/>
    <w:rsid w:val="00EA7DB3"/>
    <w:rsid w:val="00EB1D2F"/>
    <w:rsid w:val="00EB27A9"/>
    <w:rsid w:val="00EB60E5"/>
    <w:rsid w:val="00EB6123"/>
    <w:rsid w:val="00EC005D"/>
    <w:rsid w:val="00EC477A"/>
    <w:rsid w:val="00EC64F4"/>
    <w:rsid w:val="00EC6511"/>
    <w:rsid w:val="00ED067C"/>
    <w:rsid w:val="00ED34A7"/>
    <w:rsid w:val="00EE47AC"/>
    <w:rsid w:val="00EE78EF"/>
    <w:rsid w:val="00EF1E45"/>
    <w:rsid w:val="00EF4915"/>
    <w:rsid w:val="00EF749D"/>
    <w:rsid w:val="00F0090E"/>
    <w:rsid w:val="00F0631D"/>
    <w:rsid w:val="00F1074E"/>
    <w:rsid w:val="00F13254"/>
    <w:rsid w:val="00F16CC5"/>
    <w:rsid w:val="00F20022"/>
    <w:rsid w:val="00F20DE8"/>
    <w:rsid w:val="00F216A4"/>
    <w:rsid w:val="00F21DAB"/>
    <w:rsid w:val="00F30F2E"/>
    <w:rsid w:val="00F3687F"/>
    <w:rsid w:val="00F43D09"/>
    <w:rsid w:val="00F51638"/>
    <w:rsid w:val="00F54028"/>
    <w:rsid w:val="00F55F99"/>
    <w:rsid w:val="00F57956"/>
    <w:rsid w:val="00F6421E"/>
    <w:rsid w:val="00F71FBD"/>
    <w:rsid w:val="00F76541"/>
    <w:rsid w:val="00F77C93"/>
    <w:rsid w:val="00F939BB"/>
    <w:rsid w:val="00F955DB"/>
    <w:rsid w:val="00FA1828"/>
    <w:rsid w:val="00FA2FD3"/>
    <w:rsid w:val="00FA49B3"/>
    <w:rsid w:val="00FA6A6E"/>
    <w:rsid w:val="00FA6FD6"/>
    <w:rsid w:val="00FB3C2A"/>
    <w:rsid w:val="00FB5C1C"/>
    <w:rsid w:val="00FB622D"/>
    <w:rsid w:val="00FC4C9B"/>
    <w:rsid w:val="00FD0A97"/>
    <w:rsid w:val="00FD1382"/>
    <w:rsid w:val="00FD1D5F"/>
    <w:rsid w:val="00FD5047"/>
    <w:rsid w:val="00FD5167"/>
    <w:rsid w:val="00FE177B"/>
    <w:rsid w:val="00FE23D4"/>
    <w:rsid w:val="00FE25A3"/>
    <w:rsid w:val="00FE45FB"/>
    <w:rsid w:val="00FE54E1"/>
    <w:rsid w:val="00FE674B"/>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D871-DE28-4F93-9BE3-F26B3AEF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850</cp:revision>
  <dcterms:created xsi:type="dcterms:W3CDTF">2016-04-08T20:14:00Z</dcterms:created>
  <dcterms:modified xsi:type="dcterms:W3CDTF">2016-04-11T04:27:00Z</dcterms:modified>
</cp:coreProperties>
</file>