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78330D" w:rsidRDefault="00114E0A" w:rsidP="00114E0A">
      <w:pPr>
        <w:spacing w:line="480" w:lineRule="auto"/>
        <w:jc w:val="center"/>
        <w:rPr>
          <w:b/>
          <w:sz w:val="32"/>
          <w:u w:val="single"/>
        </w:rPr>
      </w:pPr>
      <w:r w:rsidRPr="0078330D">
        <w:rPr>
          <w:b/>
          <w:sz w:val="32"/>
          <w:u w:val="single"/>
        </w:rPr>
        <w:t>RESULTS</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though, predictions are fit separately for observations in London and in New York due to currency differences, then recombined for the anchoring regressions.</w:t>
      </w:r>
      <w:r w:rsidRPr="00F24F74">
        <w:rPr>
          <w:rFonts w:eastAsiaTheme="minorEastAsia"/>
        </w:rPr>
        <w:t xml:space="preserve"> 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w:t>
      </w:r>
      <w:r w:rsidRPr="00F24F74">
        <w:rPr>
          <w:rFonts w:eastAsiaTheme="minorEastAsia"/>
        </w:rPr>
        <w:lastRenderedPageBreak/>
        <w:t xml:space="preserve">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w:t>
      </w:r>
      <w:proofErr w:type="spellStart"/>
      <w:r>
        <w:rPr>
          <w:rFonts w:eastAsiaTheme="minorEastAsia"/>
        </w:rPr>
        <w:t>porary</w:t>
      </w:r>
      <w:proofErr w:type="spellEnd"/>
      <w:r>
        <w:rPr>
          <w:rFonts w:eastAsiaTheme="minorEastAsia"/>
        </w:rPr>
        <w:t xml:space="preserve">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Pr>
          <w:rFonts w:eastAsiaTheme="minorEastAsia"/>
        </w:rPr>
        <w:t xml:space="preserve"> Generally, it is clear that hedonic factors such as size and medium do play a large role in determine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t xml:space="preserve">Here, we attempt to replicate some of the work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w:t>
      </w:r>
      <w:r>
        <w:rPr>
          <w:rFonts w:eastAsiaTheme="minorEastAsia"/>
        </w:rPr>
        <w:lastRenderedPageBreak/>
        <w:t xml:space="preserve">As mentioned earlier, they identified resale observations by cross-checking against presale catalogs, so it is not possible for us to entirely replicate their work. We make the assumption that duplicate hedonic observations refer to multiple sales of the same item, and run our regressions for the full datasets each. </w:t>
      </w:r>
    </w:p>
    <w:p w:rsidR="00114E0A"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Pr="000A1767">
        <w:rPr>
          <w:rFonts w:eastAsiaTheme="minorEastAsia"/>
        </w:rPr>
        <w:t>This suggests that bidders may not conduct serious hedonic analysis when considering related goods, or do not know how to properly appraise those substitutes</w:t>
      </w:r>
      <w:r>
        <w:rPr>
          <w:rFonts w:eastAsiaTheme="minorEastAsia"/>
        </w:rPr>
        <w:t xml:space="preserve">. We do find a weaker impact of the past residuals on current price in the case of </w:t>
      </w:r>
      <w:r>
        <w:rPr>
          <w:rFonts w:eastAsiaTheme="minorEastAsia"/>
        </w:rPr>
        <w:lastRenderedPageBreak/>
        <w:t xml:space="preserve">Contemporary art, a result which is shared by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114E0A" w:rsidRDefault="00114E0A" w:rsidP="00114E0A">
      <w:pPr>
        <w:spacing w:line="480" w:lineRule="auto"/>
        <w:jc w:val="both"/>
        <w:rPr>
          <w:rFonts w:eastAsiaTheme="minorEastAsia"/>
        </w:rPr>
      </w:pPr>
      <w:r>
        <w:rPr>
          <w:rFonts w:eastAsiaTheme="minorEastAsia"/>
        </w:rPr>
        <w:t>In addition to Impressionist and Contemporary art, we also ran their original anchoring regression on our new dataset of recent assorted painting sales (Table 10). Because our dataset does not seem to have identifiable multiple sales of the same item, we used an item’s average substitute (constructed as described in our methodology) instead of a past sale. This corresponds to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w:t>
      </w:r>
      <w:proofErr w:type="spellStart"/>
      <w:r>
        <w:rPr>
          <w:rFonts w:eastAsiaTheme="minorEastAsia"/>
        </w:rPr>
        <w:t>ïve</w:t>
      </w:r>
      <w:proofErr w:type="spellEnd"/>
      <w:r>
        <w:rPr>
          <w:rFonts w:eastAsiaTheme="minorEastAsia"/>
        </w:rPr>
        <w:t xml:space="preserve"> approach that does not control for substitution, we can still discover some insight.</w:t>
      </w:r>
    </w:p>
    <w:p w:rsidR="00114E0A" w:rsidRDefault="00114E0A" w:rsidP="00114E0A">
      <w:pPr>
        <w:spacing w:line="480" w:lineRule="auto"/>
        <w:jc w:val="both"/>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much lower due to the very high variation in our data, but the F-statistic is extremely high indicating that our regression variables do seem to be re</w:t>
      </w:r>
      <w:proofErr w:type="spellStart"/>
      <w:r>
        <w:rPr>
          <w:rFonts w:eastAsiaTheme="minorEastAsia"/>
        </w:rPr>
        <w:t>levant</w:t>
      </w:r>
      <w:proofErr w:type="spellEnd"/>
      <w:r>
        <w:rPr>
          <w:rFonts w:eastAsiaTheme="minorEastAsia"/>
        </w:rPr>
        <w:t xml:space="preserve">. We discovered strong and highly significant anchoring effects in this context (5.9% increase), although as in Contemporary art the residual from past price seemed to be </w:t>
      </w:r>
      <w:r>
        <w:rPr>
          <w:rFonts w:eastAsiaTheme="minorEastAsia"/>
        </w:rPr>
        <w:lastRenderedPageBreak/>
        <w:t xml:space="preserve">relatively unimportant and less significant. This suggests that, although we have not properly controlled for substitution, anchoring is at work in this dataset. As in both the original results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and our replication of their work, we found that time effects seemed to be relatively weak, though they are highly significant. Hence, our next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114E0A" w:rsidRDefault="00114E0A" w:rsidP="00114E0A">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p>
    <w:p w:rsidR="00114E0A" w:rsidRDefault="00114E0A" w:rsidP="00114E0A">
      <w:pPr>
        <w:rPr>
          <w:rFonts w:eastAsiaTheme="minorEastAsia"/>
        </w:rPr>
      </w:pPr>
      <w:r>
        <w:rPr>
          <w:rFonts w:eastAsiaTheme="minorEastAsia"/>
        </w:rPr>
        <w:br w:type="page"/>
      </w:r>
    </w:p>
    <w:p w:rsidR="00114E0A" w:rsidRPr="00663A2E" w:rsidRDefault="00114E0A" w:rsidP="00114E0A">
      <w:pPr>
        <w:spacing w:line="480" w:lineRule="auto"/>
        <w:ind w:firstLine="0"/>
        <w:rPr>
          <w:rFonts w:eastAsiaTheme="minorEastAsia"/>
        </w:rPr>
      </w:pPr>
      <w:r>
        <w:rPr>
          <w:rFonts w:eastAsiaTheme="minorEastAsia"/>
          <w:b/>
        </w:rPr>
        <w:lastRenderedPageBreak/>
        <w:t>Q1: SECOND MOMENT OF HEDONIC PRICE DIFFERENCES</w:t>
      </w:r>
    </w:p>
    <w:p w:rsidR="00114E0A" w:rsidRDefault="00114E0A"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114E0A" w:rsidRDefault="00114E0A" w:rsidP="00114E0A">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because Contemporary art tends to be especially diverse. As a result, a piece to be auctioned may lack obvious precedents for its value, which means that current price will be determined by the piece’s own characteristics as well as unobserved inputs into price such as general demand for Contemporary art. These seem to be confirmed by the highly significant, non-negative substitute residual, as well as the insignificant measure of substitution. For Impressionist art, we would expect past prices of substitutes, and unobserved inputs into those substitutes, to significantly affect the price for a current piece since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show, Impressionist art prices have steadily risen over the decades. Here, while no doubt hedonic characteristics such as authenticity and artist do help determine value, the auction history of an Impressionist piece and its relatives are also informative. However, the anchoring coefficient for Impressionist art is small, suggesting that other factors into </w:t>
      </w:r>
      <w:r>
        <w:rPr>
          <w:rFonts w:eastAsiaTheme="minorEastAsia"/>
        </w:rPr>
        <w:lastRenderedPageBreak/>
        <w:t xml:space="preserve">value (e.g. publicity for a well-known Impressionist work) are more influential. Finally, our assorted art dataset exhibits strong and highly significant anchoring effects. This could be due to the vastly larger and more diverse range of artworks, which could yield a higher chance of finding appropriate substitutes and other pieces that have closer hedonic price predictions. </w:t>
      </w:r>
    </w:p>
    <w:p w:rsidR="00114E0A" w:rsidRDefault="00114E0A" w:rsidP="00114E0A">
      <w:pPr>
        <w:spacing w:line="480" w:lineRule="auto"/>
        <w:jc w:val="both"/>
        <w:rPr>
          <w:rFonts w:eastAsiaTheme="minorEastAsia"/>
        </w:rPr>
      </w:pPr>
      <w:r>
        <w:rPr>
          <w:rFonts w:eastAsiaTheme="minorEastAsia"/>
        </w:rPr>
        <w:t xml:space="preserve">Furthermore, while time effects (months since last sale) seem to be relatively strong (and significant) for Contemporary and assorted art sales, they are weaker for Impressionist art. From our interviews, we learned that buyers of art tend to be relatively myopic, in that they do not tend to internalize the full range of historical prices (only recent prices, i.e. anchoring). This is confirmed here by small coefficients. For example, in the assorted art dataset, a 100 month (8.3 year) time interval between sales only corresponds to an 8% decrease in the current price. For Contemporary art, the same gap corresponds to a 5% decrease, while for Impressionist art the association is almost nonexistent. This finding is corroborated for Impressionist art by the price indices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find small time coefficients for both Impressionist and Contemporary art. It seems that myopic buyers do not internalize earlier, lower prices which allows prices to climb up over time. </w:t>
      </w:r>
    </w:p>
    <w:p w:rsidR="00114E0A" w:rsidRDefault="00114E0A" w:rsidP="00114E0A">
      <w:pPr>
        <w:spacing w:line="480" w:lineRule="auto"/>
        <w:jc w:val="both"/>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t>
      </w:r>
      <w:r>
        <w:rPr>
          <w:rFonts w:eastAsiaTheme="minorEastAsia"/>
        </w:rPr>
        <w:lastRenderedPageBreak/>
        <w:t>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Conversely, Impressionist works tend to have better-defined mediums such as oil and watercolor, which makes it easier to accurately assess substitution. Though significant, the coefficients are overall still relatively small, which indicates that price may not be hugely impacted 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In the case of assorted art, a 100% increase in substitution quality only corresponds to a 2% increase in sale price, through the channel of anchoring.</w:t>
      </w:r>
    </w:p>
    <w:p w:rsidR="00114E0A" w:rsidRDefault="00114E0A" w:rsidP="00114E0A">
      <w:pPr>
        <w:spacing w:line="480" w:lineRule="auto"/>
        <w:jc w:val="both"/>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generally much less variation in the Impressionist and Contemporary datasets than in our assorted art one. High F-statistics confirm the relevance of our variables, as before.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114E0A"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114E0A">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We see many similar results since both artwork size and hedonic price prediction enter into both measures of substitution, but some differences are apparent. </w:t>
      </w:r>
    </w:p>
    <w:p w:rsidR="00114E0A" w:rsidRDefault="00114E0A" w:rsidP="00114E0A">
      <w:pPr>
        <w:spacing w:line="480" w:lineRule="auto"/>
        <w:ind w:firstLine="0"/>
        <w:jc w:val="both"/>
        <w:rPr>
          <w:rFonts w:eastAsiaTheme="minorEastAsia"/>
        </w:rPr>
      </w:pPr>
      <w:r>
        <w:rPr>
          <w:rFonts w:eastAsiaTheme="minorEastAsia"/>
        </w:rPr>
        <w:tab/>
        <w:t>First, the measure of substitution becomes significant for Contemporary art. Size, which was already significant in our hedonic regression results, 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may be key behind this result. Unlike Impressionist art, which seems to be purchased more as an alternate investment or showpiece rather than for its hedonic characteristics, Contemporary art which is often newer seems to be evaluated more based on hedonic characteristics. This is demonstrated in our hedonic regression results: the much higher intercept for Impressionist art suggests that non-hedonic factors such as buyer wealth and general demand for Impressionist pieces are at play. Thus for Contemporary art, based on our results, focusing on major hedonic characteristics such as size may be a more appropriate measure of similarity for Contemporary art.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less significant and may be less relevant than our previous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We suspect this is because time effects seem to be more impactful for Contemporary art than for Impressionist art (though the coefficients are still relatively </w:t>
      </w:r>
      <w:r>
        <w:rPr>
          <w:rFonts w:eastAsiaTheme="minorEastAsia"/>
        </w:rPr>
        <w:lastRenderedPageBreak/>
        <w:t xml:space="preserve">small). Prices for Impressionist pieces, in general, seem to be somewhat resistant to long intervals between sales. </w:t>
      </w:r>
    </w:p>
    <w:p w:rsidR="00114E0A" w:rsidRDefault="00114E0A" w:rsidP="00114E0A">
      <w:pPr>
        <w:spacing w:line="480" w:lineRule="auto"/>
        <w:jc w:val="both"/>
        <w:rPr>
          <w:rFonts w:eastAsiaTheme="minorEastAsia"/>
        </w:rPr>
      </w:pPr>
      <w:r>
        <w:rPr>
          <w:rFonts w:eastAsiaTheme="minorEastAsia"/>
        </w:rPr>
        <w:t>For our 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a hugely more impactful measure of substitution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a 10% improvement in substitution quality corresponds to a 3.0% increase in sales price. Hence, we see that the quality of substitution is highly relevant to sale price, in that the former shapes the latter through anchoring (which remains roughly as impactful 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Focusing on size, hedonic price, and time duration seems to be far more effective as a control, s</w:t>
      </w:r>
      <w:proofErr w:type="spellStart"/>
      <w:r>
        <w:rPr>
          <w:rFonts w:eastAsiaTheme="minorEastAsia"/>
        </w:rPr>
        <w:t>ince</w:t>
      </w:r>
      <w:proofErr w:type="spellEnd"/>
      <w:r>
        <w:rPr>
          <w:rFonts w:eastAsiaTheme="minorEastAsia"/>
        </w:rPr>
        <w:t xml:space="preserve"> for this assorted art dataset, it is possible that the hedonic price predictions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is as expected: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does.</w:t>
      </w:r>
    </w:p>
    <w:p w:rsidR="00114E0A" w:rsidRDefault="00114E0A" w:rsidP="00114E0A">
      <w:pPr>
        <w:spacing w:line="480" w:lineRule="auto"/>
        <w:jc w:val="both"/>
        <w:rPr>
          <w:rFonts w:eastAsiaTheme="minorEastAsia"/>
        </w:rPr>
      </w:pPr>
      <w:r>
        <w:rPr>
          <w:rFonts w:eastAsiaTheme="minorEastAsia"/>
        </w:rPr>
        <w:t>We see generally similar anchoring results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is expected since the two measures invoke some of the same variables. We do see a decrease in the anchoring coefficients across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might be a more stringent measure of substitution. Overall, even when controlling for q</w:t>
      </w:r>
      <w:proofErr w:type="spellStart"/>
      <w:r>
        <w:rPr>
          <w:rFonts w:eastAsiaTheme="minorEastAsia"/>
        </w:rPr>
        <w:t>uality</w:t>
      </w:r>
      <w:proofErr w:type="spellEnd"/>
      <w:r>
        <w:rPr>
          <w:rFonts w:eastAsiaTheme="minorEastAsia"/>
        </w:rPr>
        <w:t xml:space="preserve"> of substitution we see significant anchoring cross-effects in the Impressionist and assorted art datasets. Anchoring cross-effects are vastly stronger in our assorted art dataset, which we attribute to our diversity of works. We can thus conclude that the price </w:t>
      </w:r>
      <w:r>
        <w:rPr>
          <w:rFonts w:eastAsiaTheme="minorEastAsia"/>
        </w:rPr>
        <w:lastRenderedPageBreak/>
        <w:t xml:space="preserve">of a given art piece is indeed biased by the past sale prices of related goods (anchoring effect), although the exact mechanism by which this occurs remains a black box. </w:t>
      </w:r>
    </w:p>
    <w:p w:rsidR="00114E0A" w:rsidRDefault="00114E0A" w:rsidP="00114E0A">
      <w:pPr>
        <w:spacing w:line="480" w:lineRule="auto"/>
        <w:ind w:firstLine="0"/>
        <w:rPr>
          <w:rFonts w:eastAsiaTheme="minorEastAsia"/>
          <w:b/>
        </w:rPr>
      </w:pPr>
    </w:p>
    <w:p w:rsidR="00114E0A" w:rsidRPr="00861710" w:rsidRDefault="00114E0A" w:rsidP="00114E0A">
      <w:pPr>
        <w:spacing w:line="480" w:lineRule="auto"/>
        <w:ind w:firstLine="0"/>
        <w:rPr>
          <w:rFonts w:eastAsiaTheme="minorEastAsia"/>
          <w:b/>
        </w:rPr>
      </w:pPr>
      <w:r>
        <w:rPr>
          <w:rFonts w:eastAsiaTheme="minorEastAsia"/>
          <w:b/>
        </w:rPr>
        <w:t>THREE EXPERIMENTS</w:t>
      </w:r>
    </w:p>
    <w:p w:rsidR="00114E0A" w:rsidRDefault="00114E0A" w:rsidP="00114E0A">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w:t>
      </w:r>
      <w:proofErr w:type="spellStart"/>
      <w:r>
        <w:rPr>
          <w:rFonts w:eastAsiaTheme="minorEastAsia"/>
        </w:rPr>
        <w:t>hor</w:t>
      </w:r>
      <w:proofErr w:type="spellEnd"/>
      <w:r>
        <w:rPr>
          <w:rFonts w:eastAsiaTheme="minorEastAsia"/>
        </w:rPr>
        <w:t xml:space="preserve"> for the other, and vice-versa. This allow us directly test our anchoring regressions on known substitutes, and evaluate our results more thoroughly. Only Contemporary artist pairs were provided for us.</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3"/>
      </w:r>
      <w:r>
        <w:rPr>
          <w:rFonts w:eastAsiaTheme="minorEastAsia"/>
        </w:rPr>
        <w:t xml:space="preserve">. Dali’s work, which ranges from bizarre scenes to nightmarish landscapes, is dreamlike yet shows an appreciation for the realistic nature of classical and Renaissance </w:t>
      </w:r>
      <w:r>
        <w:rPr>
          <w:rFonts w:eastAsiaTheme="minorEastAsia"/>
        </w:rPr>
        <w:lastRenderedPageBreak/>
        <w:t>art</w:t>
      </w:r>
      <w:r>
        <w:rPr>
          <w:rStyle w:val="FootnoteReference"/>
          <w:rFonts w:eastAsiaTheme="minorEastAsia"/>
        </w:rPr>
        <w:footnoteReference w:id="4"/>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5"/>
      </w:r>
      <w:r>
        <w:rPr>
          <w:rFonts w:eastAsiaTheme="minorEastAsia"/>
        </w:rPr>
        <w:t>. We were told that works by these two artists tend to also attract the same kinds of clients.</w:t>
      </w:r>
    </w:p>
    <w:p w:rsidR="00114E0A" w:rsidRDefault="00114E0A" w:rsidP="00114E0A">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w:t>
      </w:r>
      <w:proofErr w:type="spellStart"/>
      <w:r>
        <w:rPr>
          <w:rFonts w:eastAsiaTheme="minorEastAsia"/>
        </w:rPr>
        <w:t>ignificant</w:t>
      </w:r>
      <w:proofErr w:type="spellEnd"/>
      <w:r>
        <w:rPr>
          <w:rFonts w:eastAsiaTheme="minorEastAsia"/>
        </w:rPr>
        <w:t xml:space="preserve">,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114E0A" w:rsidRDefault="00114E0A" w:rsidP="00114E0A">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6"/>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The two painters are featured together at exhibitions</w:t>
      </w:r>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r>
        <w:rPr>
          <w:rFonts w:eastAsiaTheme="minorEastAsia"/>
        </w:rPr>
        <w:t xml:space="preserve">, </w:t>
      </w:r>
      <w:r>
        <w:rPr>
          <w:rFonts w:eastAsiaTheme="minorEastAsia"/>
        </w:rPr>
        <w:lastRenderedPageBreak/>
        <w:t>apparently more often than Dali and Miro are, and the works of Picasso and Chagall frequently fetch 7- and even 8-figure sums at auction.</w:t>
      </w:r>
    </w:p>
    <w:p w:rsidR="00114E0A" w:rsidRDefault="00114E0A" w:rsidP="00114E0A">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which sugg</w:t>
      </w:r>
      <w:proofErr w:type="spellStart"/>
      <w:r>
        <w:rPr>
          <w:rFonts w:eastAsiaTheme="minorEastAsia"/>
        </w:rPr>
        <w:t>ests</w:t>
      </w:r>
      <w:proofErr w:type="spellEnd"/>
      <w:r>
        <w:rPr>
          <w:rFonts w:eastAsiaTheme="minorEastAsia"/>
        </w:rPr>
        <w:t xml:space="preserve">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114E0A" w:rsidP="00114E0A">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1"/>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2"/>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3"/>
      </w:r>
      <w:r>
        <w:rPr>
          <w:rFonts w:eastAsiaTheme="minorEastAsia"/>
        </w:rPr>
        <w:t xml:space="preserve">. Nevertheless, both artists pull in hefty sums: Toulouse-Lautrec’s work “Au Lit: Le </w:t>
      </w:r>
      <w:proofErr w:type="spellStart"/>
      <w:r>
        <w:rPr>
          <w:rFonts w:eastAsiaTheme="minorEastAsia"/>
        </w:rPr>
        <w:t>Baiser</w:t>
      </w:r>
      <w:proofErr w:type="spellEnd"/>
      <w:r>
        <w:rPr>
          <w:rFonts w:eastAsiaTheme="minorEastAsia"/>
        </w:rPr>
        <w:t>” fetched $16.3 million at Sotheby’s in early 2015</w:t>
      </w:r>
      <w:r>
        <w:rPr>
          <w:rStyle w:val="FootnoteReference"/>
          <w:rFonts w:eastAsiaTheme="minorEastAsia"/>
        </w:rPr>
        <w:footnoteReference w:id="14"/>
      </w:r>
      <w:r>
        <w:rPr>
          <w:rFonts w:eastAsiaTheme="minorEastAsia"/>
        </w:rPr>
        <w:t>, and Munch’s Internet-famous “The Scream” sold for nearly $120 million at Sotheby’s in 2012</w:t>
      </w:r>
      <w:r>
        <w:rPr>
          <w:rStyle w:val="FootnoteReference"/>
          <w:rFonts w:eastAsiaTheme="minorEastAsia"/>
        </w:rPr>
        <w:footnoteReference w:id="15"/>
      </w:r>
      <w:r>
        <w:rPr>
          <w:rFonts w:eastAsiaTheme="minorEastAsia"/>
        </w:rPr>
        <w:t>.</w:t>
      </w:r>
    </w:p>
    <w:p w:rsidR="00114E0A" w:rsidRDefault="00114E0A" w:rsidP="00114E0A">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6"/>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w:t>
      </w:r>
      <w:proofErr w:type="spellStart"/>
      <w:r>
        <w:rPr>
          <w:rFonts w:eastAsiaTheme="minorEastAsia"/>
        </w:rPr>
        <w:t>ly</w:t>
      </w:r>
      <w:proofErr w:type="spellEnd"/>
      <w:r>
        <w:rPr>
          <w:rFonts w:eastAsiaTheme="minorEastAsia"/>
        </w:rPr>
        <w:t xml:space="preserve">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E558A5" w:rsidRDefault="00E558A5">
      <w:bookmarkStart w:id="0" w:name="_GoBack"/>
      <w:bookmarkEnd w:id="0"/>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F17" w:rsidRDefault="00732F17" w:rsidP="00114E0A">
      <w:pPr>
        <w:spacing w:line="240" w:lineRule="auto"/>
      </w:pPr>
      <w:r>
        <w:separator/>
      </w:r>
    </w:p>
  </w:endnote>
  <w:endnote w:type="continuationSeparator" w:id="0">
    <w:p w:rsidR="00732F17" w:rsidRDefault="00732F17"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F17" w:rsidRDefault="00732F17" w:rsidP="00114E0A">
      <w:pPr>
        <w:spacing w:line="240" w:lineRule="auto"/>
      </w:pPr>
      <w:r>
        <w:separator/>
      </w:r>
    </w:p>
  </w:footnote>
  <w:footnote w:type="continuationSeparator" w:id="0">
    <w:p w:rsidR="00732F17" w:rsidRDefault="00732F17" w:rsidP="00114E0A">
      <w:pPr>
        <w:spacing w:line="240" w:lineRule="auto"/>
      </w:pPr>
      <w:r>
        <w:continuationSeparator/>
      </w:r>
    </w:p>
  </w:footnote>
  <w:footnote w:id="1">
    <w:p w:rsidR="00114E0A" w:rsidRDefault="00114E0A" w:rsidP="00114E0A">
      <w:pPr>
        <w:pStyle w:val="FootnoteText"/>
      </w:pPr>
      <w:r>
        <w:rPr>
          <w:rStyle w:val="FootnoteReference"/>
        </w:rPr>
        <w:footnoteRef/>
      </w:r>
      <w:r>
        <w:t xml:space="preserve"> </w:t>
      </w:r>
      <w:r w:rsidRPr="008C251E">
        <w:t>http://www.christies.com/lotfinder/paintings/invader-alias-hk-59-5875653-details.aspx</w:t>
      </w:r>
    </w:p>
  </w:footnote>
  <w:footnote w:id="2">
    <w:p w:rsidR="00114E0A" w:rsidRDefault="00114E0A" w:rsidP="00114E0A">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114E0A" w:rsidRDefault="00114E0A" w:rsidP="00114E0A">
      <w:pPr>
        <w:pStyle w:val="FootnoteText"/>
      </w:pPr>
      <w:r>
        <w:rPr>
          <w:rStyle w:val="FootnoteReference"/>
        </w:rPr>
        <w:footnoteRef/>
      </w:r>
      <w:r>
        <w:t xml:space="preserve"> </w:t>
      </w:r>
      <w:r w:rsidRPr="00D41EA6">
        <w:t>http://joanmiro.com/style-of-joan-miro/</w:t>
      </w:r>
    </w:p>
  </w:footnote>
  <w:footnote w:id="4">
    <w:p w:rsidR="00114E0A" w:rsidRDefault="00114E0A" w:rsidP="00114E0A">
      <w:pPr>
        <w:pStyle w:val="FootnoteText"/>
      </w:pPr>
      <w:r>
        <w:rPr>
          <w:rStyle w:val="FootnoteReference"/>
        </w:rPr>
        <w:footnoteRef/>
      </w:r>
      <w:r>
        <w:t xml:space="preserve"> </w:t>
      </w:r>
      <w:r w:rsidRPr="001760C6">
        <w:t>http://www.theartstory.org/artist-dali-salvador.htm</w:t>
      </w:r>
    </w:p>
  </w:footnote>
  <w:footnote w:id="5">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6">
    <w:p w:rsidR="00114E0A" w:rsidRDefault="00114E0A" w:rsidP="00114E0A">
      <w:pPr>
        <w:pStyle w:val="FootnoteText"/>
      </w:pPr>
      <w:r>
        <w:rPr>
          <w:rStyle w:val="FootnoteReference"/>
        </w:rPr>
        <w:footnoteRef/>
      </w:r>
      <w:r>
        <w:t xml:space="preserve"> </w:t>
      </w:r>
      <w:r w:rsidRPr="00A279C0">
        <w:t>http://www.pablopicasso.org/picasso-and-chagall.jsp</w:t>
      </w:r>
    </w:p>
  </w:footnote>
  <w:footnote w:id="7">
    <w:p w:rsidR="00114E0A" w:rsidRDefault="00114E0A" w:rsidP="00114E0A">
      <w:pPr>
        <w:pStyle w:val="FootnoteText"/>
      </w:pPr>
      <w:r>
        <w:rPr>
          <w:rStyle w:val="FootnoteReference"/>
        </w:rPr>
        <w:footnoteRef/>
      </w:r>
      <w:r>
        <w:t xml:space="preserve"> </w:t>
      </w:r>
      <w:r w:rsidRPr="00DD4B9E">
        <w:t>http://www.theartstory.org/artist-chagall-marc.htm</w:t>
      </w:r>
    </w:p>
  </w:footnote>
  <w:footnote w:id="8">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9">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0">
    <w:p w:rsidR="00114E0A" w:rsidRDefault="00114E0A" w:rsidP="00114E0A">
      <w:pPr>
        <w:pStyle w:val="FootnoteText"/>
      </w:pPr>
      <w:r>
        <w:rPr>
          <w:rStyle w:val="FootnoteReference"/>
        </w:rPr>
        <w:footnoteRef/>
      </w:r>
      <w:r>
        <w:t xml:space="preserve"> </w:t>
      </w:r>
      <w:r w:rsidRPr="001245D1">
        <w:t>http://pueblopulp.com/picasso-matisse-chagall</w:t>
      </w:r>
    </w:p>
  </w:footnote>
  <w:footnote w:id="11">
    <w:p w:rsidR="00114E0A" w:rsidRDefault="00114E0A" w:rsidP="00114E0A">
      <w:pPr>
        <w:pStyle w:val="FootnoteText"/>
      </w:pPr>
      <w:r>
        <w:rPr>
          <w:rStyle w:val="FootnoteReference"/>
        </w:rPr>
        <w:footnoteRef/>
      </w:r>
      <w:r>
        <w:t xml:space="preserve"> </w:t>
      </w:r>
      <w:r w:rsidRPr="00E378F8">
        <w:t>http://www.theartstory.org/artist-munch-edvard.htm</w:t>
      </w:r>
    </w:p>
  </w:footnote>
  <w:footnote w:id="12">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3">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4">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5">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 w:id="16">
    <w:p w:rsidR="00114E0A" w:rsidRDefault="00114E0A" w:rsidP="00114E0A">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114E0A"/>
    <w:rsid w:val="00732F17"/>
    <w:rsid w:val="00906170"/>
    <w:rsid w:val="00E5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3476</Words>
  <Characters>19818</Characters>
  <Application>Microsoft Office Word</Application>
  <DocSecurity>0</DocSecurity>
  <Lines>165</Lines>
  <Paragraphs>46</Paragraphs>
  <ScaleCrop>false</ScaleCrop>
  <Company/>
  <LinksUpToDate>false</LinksUpToDate>
  <CharactersWithSpaces>23248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cp:revision>
  <dcterms:created xsi:type="dcterms:W3CDTF">2016-04-08T20:15:00Z</dcterms:created>
  <dcterms:modified xsi:type="dcterms:W3CDTF">2016-04-08T20:15:00Z</dcterms:modified>
</cp:coreProperties>
</file>