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7A68DC" w:rsidRPr="00D10BAA" w:rsidRDefault="007A68DC" w:rsidP="007A68DC">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w:t>
      </w:r>
      <w:proofErr w:type="spellStart"/>
      <w:r w:rsidRPr="00394EB1">
        <w:t>Beggs</w:t>
      </w:r>
      <w:proofErr w:type="spellEnd"/>
      <w:r w:rsidRPr="00394EB1">
        <w:t xml:space="preserve"> &amp; </w:t>
      </w:r>
      <w:proofErr w:type="spellStart"/>
      <w:r w:rsidRPr="00394EB1">
        <w:t>Graddy</w:t>
      </w:r>
      <w:proofErr w:type="spellEnd"/>
      <w:r w:rsidRPr="00394EB1">
        <w:t xml:space="preserve"> (2009) who themselves cite </w:t>
      </w:r>
      <w:proofErr w:type="spellStart"/>
      <w:r w:rsidRPr="00394EB1">
        <w:t>Genesove</w:t>
      </w:r>
      <w:proofErr w:type="spellEnd"/>
      <w:r w:rsidRPr="00394EB1">
        <w:t xml:space="preser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7A68DC" w:rsidRPr="00636905"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xml:space="preserve">. For example, the value of a painting may depend on its dimensions and authenticity, while a bottle of wine may be appraised based on its age and where it was grown. In the first stage of the model, </w:t>
      </w:r>
      <w:proofErr w:type="spellStart"/>
      <w:r>
        <w:t>Beggs</w:t>
      </w:r>
      <w:proofErr w:type="spellEnd"/>
      <w:r>
        <w:t xml:space="preserve"> &amp; </w:t>
      </w:r>
      <w:proofErr w:type="spellStart"/>
      <w:r>
        <w:t>Graddy</w:t>
      </w:r>
      <w:proofErr w:type="spellEnd"/>
      <w:r>
        <w:t xml:space="preserve">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w:t>
      </w:r>
      <w:proofErr w:type="spellStart"/>
      <w:r w:rsidRPr="00636905">
        <w:t>Beggs</w:t>
      </w:r>
      <w:proofErr w:type="spellEnd"/>
      <w:r w:rsidRPr="00636905">
        <w:t xml:space="preserve"> &amp; </w:t>
      </w:r>
      <w:proofErr w:type="spellStart"/>
      <w:r w:rsidRPr="00636905">
        <w:t>Graddy</w:t>
      </w:r>
      <w:proofErr w:type="spellEnd"/>
      <w:r w:rsidRPr="00636905">
        <w:t xml:space="preserve">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A68DC" w:rsidRPr="00636905" w:rsidRDefault="00996E09"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 xml:space="preserve">In the same vein as </w:t>
      </w:r>
      <w:proofErr w:type="spellStart"/>
      <w:r>
        <w:t>Beggs</w:t>
      </w:r>
      <w:proofErr w:type="spellEnd"/>
      <w:r>
        <w:t xml:space="preserve"> &amp; </w:t>
      </w:r>
      <w:proofErr w:type="spellStart"/>
      <w:r>
        <w:t>Graddy</w:t>
      </w:r>
      <w:proofErr w:type="spellEnd"/>
      <w:r>
        <w:t>,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w:t>
      </w:r>
      <w:r>
        <w:rPr>
          <w:rFonts w:eastAsiaTheme="minorEastAsia"/>
        </w:rPr>
        <w:lastRenderedPageBreak/>
        <w:t>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Pr="00E6220E" w:rsidRDefault="007A68DC" w:rsidP="007A68DC">
      <w:pPr>
        <w:spacing w:line="480" w:lineRule="auto"/>
        <w:ind w:firstLine="0"/>
        <w:jc w:val="both"/>
        <w:rPr>
          <w:rFonts w:eastAsiaTheme="minorEastAsia"/>
        </w:rPr>
      </w:pPr>
      <w:r>
        <w:rPr>
          <w:rFonts w:eastAsiaTheme="minorEastAsia"/>
        </w:rPr>
        <w:tab/>
        <w:t xml:space="preserve">In the second stage of the model,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specify the following regression in order to separate out anchoring from other effects. They do this for each unique painting.</w:t>
      </w:r>
    </w:p>
    <w:p w:rsidR="007A68DC" w:rsidRPr="00E6220E"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7A68DC" w:rsidRDefault="007A68DC" w:rsidP="007A68DC">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w:t>
      </w:r>
      <w:proofErr w:type="spellStart"/>
      <w:r>
        <w:rPr>
          <w:rFonts w:eastAsiaTheme="minorEastAsia"/>
        </w:rPr>
        <w:t>probit</w:t>
      </w:r>
      <w:proofErr w:type="spellEnd"/>
      <w:r>
        <w:rPr>
          <w:rFonts w:eastAsiaTheme="minorEastAsia"/>
        </w:rPr>
        <w:t xml:space="preserve">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CD580D" w:rsidP="007A68DC">
      <w:pPr>
        <w:spacing w:line="480" w:lineRule="auto"/>
        <w:ind w:firstLine="0"/>
        <w:rPr>
          <w:rFonts w:eastAsiaTheme="minorEastAsia"/>
          <w:b/>
        </w:rPr>
      </w:pPr>
      <w:r>
        <w:rPr>
          <w:rFonts w:eastAsiaTheme="minorEastAsia"/>
          <w:b/>
        </w:rPr>
        <w:t>ON</w:t>
      </w:r>
      <w:r w:rsidR="00E14D4C">
        <w:rPr>
          <w:rFonts w:eastAsiaTheme="minorEastAsia"/>
          <w:b/>
        </w:rPr>
        <w:t xml:space="preserve"> </w:t>
      </w:r>
      <w:r w:rsidR="00515126">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 xml:space="preserve">As we discussed earlier and as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 xml:space="preserve">This gives us a </w:t>
      </w:r>
      <w:r w:rsidR="00CF2F4D">
        <w:rPr>
          <w:rFonts w:eastAsiaTheme="minorEastAsia"/>
        </w:rPr>
        <w:lastRenderedPageBreak/>
        <w:t>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5"/>
      </w:r>
      <w:r w:rsidRPr="00663A2E">
        <w:rPr>
          <w:rFonts w:eastAsiaTheme="minorEastAsia"/>
        </w:rPr>
        <w:t>. Then our second regression is:</w:t>
      </w:r>
    </w:p>
    <w:p w:rsidR="007A68DC" w:rsidRPr="00663A2E" w:rsidRDefault="00996E09"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w:t>
      </w:r>
      <w:r>
        <w:rPr>
          <w:rFonts w:eastAsiaTheme="minorEastAsia"/>
        </w:rPr>
        <w:lastRenderedPageBreak/>
        <w:t>(though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996E0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996E0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Default="007A68DC" w:rsidP="007A68DC">
      <w:pPr>
        <w:spacing w:line="480" w:lineRule="auto"/>
        <w:ind w:firstLine="0"/>
        <w:jc w:val="both"/>
        <w:rPr>
          <w:rFonts w:eastAsiaTheme="minorEastAsia"/>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xml:space="preserve">. </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lastRenderedPageBreak/>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6"/>
      </w:r>
      <w:r>
        <w:rPr>
          <w:rFonts w:eastAsiaTheme="minorEastAsia"/>
        </w:rPr>
        <w:t>:</w:t>
      </w:r>
    </w:p>
    <w:p w:rsidR="007A68DC" w:rsidRPr="00394F5F" w:rsidRDefault="00996E0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w:t>
      </w:r>
      <w:r>
        <w:rPr>
          <w:rFonts w:eastAsiaTheme="minorEastAsia"/>
        </w:rPr>
        <w:lastRenderedPageBreak/>
        <w:t>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w:t>
      </w:r>
      <w:r w:rsidR="003827FE">
        <w:rPr>
          <w:rFonts w:eastAsiaTheme="minorEastAsia"/>
        </w:rPr>
        <w:t xml:space="preserve">it is preferable to have uniformly substitutable goods rather than a </w:t>
      </w:r>
      <w:r w:rsidR="006E2D5C">
        <w:rPr>
          <w:rFonts w:eastAsiaTheme="minorEastAsia"/>
        </w:rPr>
        <w:t>polarized</w:t>
      </w:r>
      <w:r w:rsidR="003827FE">
        <w:rPr>
          <w:rFonts w:eastAsiaTheme="minorEastAsia"/>
        </w:rPr>
        <w:t xml:space="preserve"> mix of good and bad ones.</w:t>
      </w:r>
      <w:bookmarkStart w:id="0" w:name="_GoBack"/>
      <w:bookmarkEnd w:id="0"/>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7"/>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996E09"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E558A5" w:rsidRPr="00380A7D" w:rsidRDefault="00C27A5C" w:rsidP="00380A7D">
      <w:pPr>
        <w:spacing w:line="480" w:lineRule="auto"/>
        <w:ind w:firstLine="0"/>
        <w:jc w:val="both"/>
        <w:rPr>
          <w:rFonts w:eastAsiaTheme="minorEastAsia"/>
        </w:rPr>
      </w:pPr>
      <w:r>
        <w:rPr>
          <w:rFonts w:eastAsiaTheme="minorEastAsia"/>
        </w:rPr>
        <w:lastRenderedPageBreak/>
        <w:tab/>
        <w:t xml:space="preserve">Although </w:t>
      </w:r>
      <w:r w:rsidR="008D0D75">
        <w:rPr>
          <w:rFonts w:eastAsiaTheme="minorEastAsia"/>
        </w:rPr>
        <w:t xml:space="preserve">hedonic </w:t>
      </w:r>
      <w:r w:rsidR="009D70BC">
        <w:rPr>
          <w:rFonts w:eastAsiaTheme="minorEastAsia"/>
        </w:rPr>
        <w:t>features</w:t>
      </w:r>
      <w:r w:rsidR="008D0D75">
        <w:rPr>
          <w:rFonts w:eastAsiaTheme="minorEastAsia"/>
        </w:rPr>
        <w:t xml:space="preserve">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A68D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8D0D75">
        <w:rPr>
          <w:rFonts w:eastAsiaTheme="minorEastAsia"/>
        </w:rPr>
        <w:t xml:space="preserve">, the two measures </w:t>
      </w:r>
      <w:r w:rsidR="00EC477A">
        <w:rPr>
          <w:rFonts w:eastAsiaTheme="minorEastAsia"/>
        </w:rPr>
        <w:t xml:space="preserve">are </w:t>
      </w:r>
      <w:r w:rsidR="000F7A6F">
        <w:rPr>
          <w:rFonts w:eastAsiaTheme="minorEastAsia"/>
        </w:rPr>
        <w:t>considerably</w:t>
      </w:r>
      <w:r w:rsidR="00C07958">
        <w:rPr>
          <w:rFonts w:eastAsiaTheme="minorEastAsia"/>
        </w:rPr>
        <w:t xml:space="preserve"> </w:t>
      </w:r>
      <w:r w:rsidR="009A572D">
        <w:rPr>
          <w:rFonts w:eastAsiaTheme="minorEastAsia"/>
        </w:rPr>
        <w:t>different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A68DC">
        <w:rPr>
          <w:rFonts w:eastAsiaTheme="minorEastAsia"/>
        </w:rPr>
        <w:t xml:space="preserve"> includes temporal effects (which do not enter into the hedonic regressions), and </w:t>
      </w:r>
      <w:r w:rsidR="00F71FBD">
        <w:rPr>
          <w:rFonts w:eastAsiaTheme="minorEastAsia"/>
        </w:rPr>
        <w:t>focuses</w:t>
      </w:r>
      <w:r w:rsidR="007A68DC">
        <w:rPr>
          <w:rFonts w:eastAsiaTheme="minorEastAsia"/>
        </w:rPr>
        <w:t xml:space="preserve"> for the relative differences in size between works, which are not captured in the individual</w:t>
      </w:r>
      <m:oMath>
        <m:r>
          <w:rPr>
            <w:rFonts w:ascii="Cambria Math" w:eastAsiaTheme="minorEastAsia" w:hAnsi="Cambria Math"/>
          </w:rPr>
          <m:t xml:space="preserve"> π</m:t>
        </m:r>
      </m:oMath>
      <w:r w:rsidR="007A68DC">
        <w:rPr>
          <w:rFonts w:eastAsiaTheme="minorEastAsia"/>
        </w:rPr>
        <w:t xml:space="preserve"> terms.</w:t>
      </w:r>
      <w:r w:rsidR="00F55F99">
        <w:rPr>
          <w:rFonts w:eastAsiaTheme="minorEastAsia"/>
        </w:rPr>
        <w:t xml:space="preserve"> It is surprising</w:t>
      </w:r>
      <w:r w:rsidR="00330BEA">
        <w:rPr>
          <w:rFonts w:eastAsiaTheme="minorEastAsia"/>
        </w:rPr>
        <w:t>, then,</w:t>
      </w:r>
      <w:r w:rsidR="00DA1F68">
        <w:rPr>
          <w:rFonts w:eastAsiaTheme="minorEastAsia"/>
        </w:rPr>
        <w:t xml:space="preserve"> </w:t>
      </w:r>
      <w:r w:rsidR="00D2081B">
        <w:rPr>
          <w:rFonts w:eastAsiaTheme="minorEastAsia"/>
        </w:rPr>
        <w:t xml:space="preserve">that </w:t>
      </w:r>
      <w:r w:rsidR="008B12AA">
        <w:rPr>
          <w:rFonts w:eastAsiaTheme="minorEastAsia"/>
        </w:rPr>
        <w:t>t</w:t>
      </w:r>
      <w:r w:rsidR="006434DA">
        <w:rPr>
          <w:rFonts w:eastAsiaTheme="minorEastAsia"/>
        </w:rPr>
        <w:t>hese</w:t>
      </w:r>
      <w:r w:rsidR="009D70BC">
        <w:rPr>
          <w:rFonts w:eastAsiaTheme="minorEastAsia"/>
        </w:rPr>
        <w:t xml:space="preserve"> two </w:t>
      </w:r>
      <w:r w:rsidR="008B12AA">
        <w:rPr>
          <w:rFonts w:eastAsiaTheme="minorEastAsia"/>
        </w:rPr>
        <w:t xml:space="preserve">diverse </w:t>
      </w:r>
      <w:r w:rsidR="009D70BC">
        <w:rPr>
          <w:rFonts w:eastAsiaTheme="minorEastAsia"/>
        </w:rPr>
        <w:t xml:space="preserve">measures </w:t>
      </w:r>
      <w:r w:rsidR="00782C93">
        <w:rPr>
          <w:rFonts w:eastAsiaTheme="minorEastAsia"/>
        </w:rPr>
        <w:t>yield relatively similar</w:t>
      </w:r>
      <w:r w:rsidR="00760FCF">
        <w:rPr>
          <w:rFonts w:eastAsiaTheme="minorEastAsia"/>
        </w:rPr>
        <w:t xml:space="preserve"> </w:t>
      </w:r>
      <w:r w:rsidR="008601F2">
        <w:rPr>
          <w:rFonts w:eastAsiaTheme="minorEastAsia"/>
        </w:rPr>
        <w:t xml:space="preserve">evidence </w:t>
      </w:r>
      <w:r w:rsidR="0051253E">
        <w:rPr>
          <w:rFonts w:eastAsiaTheme="minorEastAsia"/>
        </w:rPr>
        <w:t xml:space="preserve">of anchoring effects. 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E09" w:rsidRDefault="00996E09" w:rsidP="007A68DC">
      <w:pPr>
        <w:spacing w:line="240" w:lineRule="auto"/>
      </w:pPr>
      <w:r>
        <w:separator/>
      </w:r>
    </w:p>
  </w:endnote>
  <w:endnote w:type="continuationSeparator" w:id="0">
    <w:p w:rsidR="00996E09" w:rsidRDefault="00996E09"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E09" w:rsidRDefault="00996E09" w:rsidP="007A68DC">
      <w:pPr>
        <w:spacing w:line="240" w:lineRule="auto"/>
      </w:pPr>
      <w:r>
        <w:separator/>
      </w:r>
    </w:p>
  </w:footnote>
  <w:footnote w:type="continuationSeparator" w:id="0">
    <w:p w:rsidR="00996E09" w:rsidRDefault="00996E09" w:rsidP="007A68DC">
      <w:pPr>
        <w:spacing w:line="240" w:lineRule="auto"/>
      </w:pPr>
      <w:r>
        <w:continuationSeparator/>
      </w:r>
    </w:p>
  </w:footnote>
  <w:footnote w:id="1">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7A68DC" w:rsidRDefault="007A68DC" w:rsidP="007A68DC">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7A68DC" w:rsidRDefault="007A68DC" w:rsidP="007A68DC">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7A68DC" w:rsidRDefault="007A68DC"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7A68DC" w:rsidRDefault="007A68DC"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6">
    <w:p w:rsidR="007A68DC" w:rsidRDefault="007A68DC"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w:t>
      </w:r>
      <w:r w:rsidR="00240F81">
        <w:rPr>
          <w:rFonts w:eastAsiaTheme="minorEastAsia"/>
        </w:rPr>
        <w:t>spread</w:t>
      </w:r>
      <w:r>
        <w:rPr>
          <w:rFonts w:eastAsiaTheme="minorEastAsia"/>
        </w:rPr>
        <w:t xml:space="preserve"> and mean.</w:t>
      </w:r>
    </w:p>
  </w:footnote>
  <w:footnote w:id="7">
    <w:p w:rsidR="007A68DC" w:rsidRDefault="007A68DC" w:rsidP="007A68DC">
      <w:pPr>
        <w:pStyle w:val="FootnoteText"/>
      </w:pPr>
      <w:r>
        <w:rPr>
          <w:rStyle w:val="FootnoteReference"/>
        </w:rPr>
        <w:footnoteRef/>
      </w:r>
      <w:r>
        <w:t xml:space="preserve"> For further discussion: </w:t>
      </w:r>
      <w:r w:rsidRPr="00CA2BC0">
        <w:t>http://www.jstor.org/stable/pdf/20715780.pdf?acceptTC=true</w:t>
      </w:r>
    </w:p>
  </w:footnote>
  <w:footnote w:id="8">
    <w:p w:rsidR="007A68DC" w:rsidRDefault="007A68DC"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3267F"/>
    <w:rsid w:val="00052CFA"/>
    <w:rsid w:val="000554E3"/>
    <w:rsid w:val="000662D6"/>
    <w:rsid w:val="00074AB0"/>
    <w:rsid w:val="000839F9"/>
    <w:rsid w:val="000B143C"/>
    <w:rsid w:val="000B6A66"/>
    <w:rsid w:val="000F7A6F"/>
    <w:rsid w:val="001217AA"/>
    <w:rsid w:val="00151D68"/>
    <w:rsid w:val="00180DE3"/>
    <w:rsid w:val="00194EBA"/>
    <w:rsid w:val="001C226C"/>
    <w:rsid w:val="001F1EB9"/>
    <w:rsid w:val="001F68FC"/>
    <w:rsid w:val="00206A8D"/>
    <w:rsid w:val="00225C5F"/>
    <w:rsid w:val="00240F81"/>
    <w:rsid w:val="00242860"/>
    <w:rsid w:val="00253F6B"/>
    <w:rsid w:val="00287869"/>
    <w:rsid w:val="002C3BA2"/>
    <w:rsid w:val="002F26ED"/>
    <w:rsid w:val="00330BEA"/>
    <w:rsid w:val="00333C7A"/>
    <w:rsid w:val="00380A7D"/>
    <w:rsid w:val="003827FE"/>
    <w:rsid w:val="0039245A"/>
    <w:rsid w:val="003C6FE2"/>
    <w:rsid w:val="003F5640"/>
    <w:rsid w:val="003F5D70"/>
    <w:rsid w:val="0042297B"/>
    <w:rsid w:val="004254CF"/>
    <w:rsid w:val="00447EAF"/>
    <w:rsid w:val="00497A7F"/>
    <w:rsid w:val="004B3F23"/>
    <w:rsid w:val="004E15AC"/>
    <w:rsid w:val="004F4E6F"/>
    <w:rsid w:val="0051253E"/>
    <w:rsid w:val="00515126"/>
    <w:rsid w:val="00565F8D"/>
    <w:rsid w:val="00586DF2"/>
    <w:rsid w:val="005970A6"/>
    <w:rsid w:val="005D7FC3"/>
    <w:rsid w:val="005E2335"/>
    <w:rsid w:val="005F084E"/>
    <w:rsid w:val="00624F06"/>
    <w:rsid w:val="00626640"/>
    <w:rsid w:val="006434DA"/>
    <w:rsid w:val="00660C34"/>
    <w:rsid w:val="00684B36"/>
    <w:rsid w:val="00693162"/>
    <w:rsid w:val="006B3FB3"/>
    <w:rsid w:val="006C430A"/>
    <w:rsid w:val="006E2D5C"/>
    <w:rsid w:val="0070223E"/>
    <w:rsid w:val="0073518F"/>
    <w:rsid w:val="00745EA9"/>
    <w:rsid w:val="00750B06"/>
    <w:rsid w:val="00760FCF"/>
    <w:rsid w:val="00782C93"/>
    <w:rsid w:val="007A51CA"/>
    <w:rsid w:val="007A68DC"/>
    <w:rsid w:val="007E63D8"/>
    <w:rsid w:val="00805C3B"/>
    <w:rsid w:val="00820327"/>
    <w:rsid w:val="00821F04"/>
    <w:rsid w:val="00834947"/>
    <w:rsid w:val="00843309"/>
    <w:rsid w:val="008508BE"/>
    <w:rsid w:val="0085602C"/>
    <w:rsid w:val="008601F2"/>
    <w:rsid w:val="00896309"/>
    <w:rsid w:val="008A214C"/>
    <w:rsid w:val="008A6B1A"/>
    <w:rsid w:val="008B12AA"/>
    <w:rsid w:val="008D0D75"/>
    <w:rsid w:val="008D35CF"/>
    <w:rsid w:val="008D6EDB"/>
    <w:rsid w:val="00906170"/>
    <w:rsid w:val="00921F40"/>
    <w:rsid w:val="0096326A"/>
    <w:rsid w:val="0096791D"/>
    <w:rsid w:val="0097340C"/>
    <w:rsid w:val="00996E09"/>
    <w:rsid w:val="009A444E"/>
    <w:rsid w:val="009A572D"/>
    <w:rsid w:val="009B262C"/>
    <w:rsid w:val="009D1F18"/>
    <w:rsid w:val="009D70BC"/>
    <w:rsid w:val="009F5641"/>
    <w:rsid w:val="00A11380"/>
    <w:rsid w:val="00A1389E"/>
    <w:rsid w:val="00A4267C"/>
    <w:rsid w:val="00A43B50"/>
    <w:rsid w:val="00A4660F"/>
    <w:rsid w:val="00A657C9"/>
    <w:rsid w:val="00BC1AD4"/>
    <w:rsid w:val="00BC2B6B"/>
    <w:rsid w:val="00C07958"/>
    <w:rsid w:val="00C16C3A"/>
    <w:rsid w:val="00C17468"/>
    <w:rsid w:val="00C27A5C"/>
    <w:rsid w:val="00C36C75"/>
    <w:rsid w:val="00C47EE5"/>
    <w:rsid w:val="00C85D1F"/>
    <w:rsid w:val="00C93F72"/>
    <w:rsid w:val="00CB4130"/>
    <w:rsid w:val="00CC56C3"/>
    <w:rsid w:val="00CD2EF3"/>
    <w:rsid w:val="00CD580D"/>
    <w:rsid w:val="00CF2F4D"/>
    <w:rsid w:val="00D06EA4"/>
    <w:rsid w:val="00D2081B"/>
    <w:rsid w:val="00D21E06"/>
    <w:rsid w:val="00D43F01"/>
    <w:rsid w:val="00D813F6"/>
    <w:rsid w:val="00DA1F68"/>
    <w:rsid w:val="00DB4B6D"/>
    <w:rsid w:val="00E14D4C"/>
    <w:rsid w:val="00E558A5"/>
    <w:rsid w:val="00E75A6A"/>
    <w:rsid w:val="00E83B88"/>
    <w:rsid w:val="00EC477A"/>
    <w:rsid w:val="00EC64F4"/>
    <w:rsid w:val="00EE78EF"/>
    <w:rsid w:val="00EF4915"/>
    <w:rsid w:val="00F30F2E"/>
    <w:rsid w:val="00F3687F"/>
    <w:rsid w:val="00F55F99"/>
    <w:rsid w:val="00F6421E"/>
    <w:rsid w:val="00F71FBD"/>
    <w:rsid w:val="00F939BB"/>
    <w:rsid w:val="00FA49B3"/>
    <w:rsid w:val="00FB5C1C"/>
    <w:rsid w:val="00FD0A97"/>
    <w:rsid w:val="00FD1D5F"/>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1905</Words>
  <Characters>10865</Characters>
  <Application>Microsoft Office Word</Application>
  <DocSecurity>0</DocSecurity>
  <Lines>90</Lines>
  <Paragraphs>25</Paragraphs>
  <ScaleCrop>false</ScaleCrop>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172</cp:revision>
  <dcterms:created xsi:type="dcterms:W3CDTF">2016-04-08T20:14:00Z</dcterms:created>
  <dcterms:modified xsi:type="dcterms:W3CDTF">2016-04-09T02:37:00Z</dcterms:modified>
</cp:coreProperties>
</file>