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8B" w:rsidRPr="00726B72" w:rsidRDefault="00FF308B" w:rsidP="00FF308B">
      <w:pPr>
        <w:spacing w:line="480" w:lineRule="auto"/>
        <w:ind w:firstLine="0"/>
        <w:jc w:val="center"/>
        <w:rPr>
          <w:rFonts w:ascii="Baskerville Old Face" w:hAnsi="Baskerville Old Face"/>
          <w:b/>
          <w:sz w:val="32"/>
          <w:u w:val="single"/>
        </w:rPr>
      </w:pPr>
      <w:r w:rsidRPr="00726B72">
        <w:rPr>
          <w:rFonts w:ascii="Baskerville Old Face" w:hAnsi="Baskerville Old Face"/>
          <w:b/>
          <w:sz w:val="32"/>
          <w:u w:val="single"/>
        </w:rPr>
        <w:t>A BRIEF OVERVIEW OF ART AUCTIONS</w:t>
      </w:r>
    </w:p>
    <w:p w:rsidR="00FF308B" w:rsidRPr="00726B72" w:rsidRDefault="00FF308B" w:rsidP="00FF308B">
      <w:pPr>
        <w:spacing w:line="480" w:lineRule="auto"/>
        <w:ind w:firstLine="0"/>
        <w:jc w:val="both"/>
        <w:rPr>
          <w:rFonts w:ascii="Baskerville Old Face" w:hAnsi="Baskerville Old Face"/>
        </w:rPr>
      </w:pPr>
      <w:r w:rsidRPr="00726B72">
        <w:rPr>
          <w:rFonts w:ascii="Baskerville Old Face" w:hAnsi="Baskerville Old Face"/>
        </w:rPr>
        <w:t>In perhaps one of the world’s oldest duopolies, approximately 42% of the global art auction market is controlled by two major houses, Christie’s (est. 1766) and Sotheby’s (est. 1744)</w:t>
      </w:r>
      <w:r w:rsidRPr="00726B72">
        <w:rPr>
          <w:rStyle w:val="FootnoteReference"/>
          <w:rFonts w:ascii="Baskerville Old Face" w:hAnsi="Baskerville Old Face"/>
        </w:rPr>
        <w:footnoteReference w:id="1"/>
      </w:r>
      <w:r w:rsidRPr="00726B72">
        <w:rPr>
          <w:rFonts w:ascii="Baskerville Old Face" w:hAnsi="Baskerville Old Face"/>
        </w:rPr>
        <w:t>. The former, headquartered in London, is privately held by French multibillionaire Francois-Henri Pinault and so only reports sales figures twice a year</w:t>
      </w:r>
      <w:r w:rsidRPr="00726B72">
        <w:rPr>
          <w:rStyle w:val="FootnoteReference"/>
          <w:rFonts w:ascii="Baskerville Old Face" w:hAnsi="Baskerville Old Face"/>
        </w:rPr>
        <w:footnoteReference w:id="2"/>
      </w:r>
      <w:r w:rsidRPr="00726B72">
        <w:rPr>
          <w:rFonts w:ascii="Baskerville Old Face" w:hAnsi="Baskerville Old Face"/>
        </w:rPr>
        <w:t>. Sotheby’s on the ot</w:t>
      </w:r>
      <w:bookmarkStart w:id="0" w:name="_GoBack"/>
      <w:bookmarkEnd w:id="0"/>
      <w:r w:rsidRPr="00726B72">
        <w:rPr>
          <w:rFonts w:ascii="Baskerville Old Face" w:hAnsi="Baskerville Old Face"/>
        </w:rPr>
        <w:t>her hand is headquartered in New York City and publicly traded, and is thus required to report revenue and costs in detail</w:t>
      </w:r>
      <w:r w:rsidRPr="00726B72">
        <w:rPr>
          <w:rStyle w:val="FootnoteReference"/>
          <w:rFonts w:ascii="Baskerville Old Face" w:hAnsi="Baskerville Old Face"/>
        </w:rPr>
        <w:footnoteReference w:id="3"/>
      </w:r>
      <w:r w:rsidRPr="00726B72">
        <w:rPr>
          <w:rFonts w:ascii="Baskerville Old Face" w:hAnsi="Baskerville Old Face"/>
        </w:rPr>
        <w:t>. While both houses deal in art, often sourced from museum or private collections, in recent years Christie’s has become the larger player in this domain. In the first six months of 2015, Christie’s realized $4.5 billion in art sales, while Sotheby’s only pulled $3.5 billion</w:t>
      </w:r>
      <w:r w:rsidRPr="00726B72">
        <w:rPr>
          <w:rStyle w:val="FootnoteReference"/>
          <w:rFonts w:ascii="Baskerville Old Face" w:hAnsi="Baskerville Old Face"/>
        </w:rPr>
        <w:footnoteReference w:id="4"/>
      </w:r>
      <w:r w:rsidRPr="00726B72">
        <w:rPr>
          <w:rFonts w:ascii="Baskerville Old Face" w:hAnsi="Baskerville Old Face"/>
        </w:rPr>
        <w:t xml:space="preserve">. Over the years, both houses have enjoyed their share of record-breaking auctions: </w:t>
      </w:r>
      <w:proofErr w:type="spellStart"/>
      <w:r w:rsidRPr="00726B72">
        <w:rPr>
          <w:rFonts w:ascii="Baskerville Old Face" w:hAnsi="Baskerville Old Face"/>
        </w:rPr>
        <w:t>Picassso’s</w:t>
      </w:r>
      <w:proofErr w:type="spellEnd"/>
      <w:r w:rsidRPr="00726B72">
        <w:rPr>
          <w:rFonts w:ascii="Baskerville Old Face" w:hAnsi="Baskerville Old Face"/>
        </w:rPr>
        <w:t xml:space="preserve"> </w:t>
      </w:r>
      <w:r w:rsidRPr="00726B72">
        <w:rPr>
          <w:rFonts w:ascii="Baskerville Old Face" w:hAnsi="Baskerville Old Face"/>
          <w:i/>
        </w:rPr>
        <w:t xml:space="preserve">Les Femmes </w:t>
      </w:r>
      <w:proofErr w:type="spellStart"/>
      <w:r w:rsidRPr="00726B72">
        <w:rPr>
          <w:rFonts w:ascii="Baskerville Old Face" w:hAnsi="Baskerville Old Face"/>
          <w:i/>
        </w:rPr>
        <w:t>d’Alger</w:t>
      </w:r>
      <w:proofErr w:type="spellEnd"/>
      <w:r w:rsidRPr="00726B72">
        <w:rPr>
          <w:rFonts w:ascii="Baskerville Old Face" w:hAnsi="Baskerville Old Face"/>
          <w:i/>
        </w:rPr>
        <w:t xml:space="preserve"> (“Version O”)</w:t>
      </w:r>
      <w:r w:rsidRPr="00726B72">
        <w:rPr>
          <w:rFonts w:ascii="Baskerville Old Face" w:hAnsi="Baskerville Old Face"/>
        </w:rPr>
        <w:t xml:space="preserve"> sold for $179 million at Christie’s in 2015, while Pollock’s </w:t>
      </w:r>
      <w:r w:rsidRPr="00726B72">
        <w:rPr>
          <w:rFonts w:ascii="Baskerville Old Face" w:hAnsi="Baskerville Old Face"/>
          <w:i/>
        </w:rPr>
        <w:t>No. 5, 1948</w:t>
      </w:r>
      <w:r w:rsidRPr="00726B72">
        <w:rPr>
          <w:rFonts w:ascii="Baskerville Old Face" w:hAnsi="Baskerville Old Face"/>
        </w:rPr>
        <w:t xml:space="preserve"> went for $164 million at Sotheby’s in 2006. The whole spectrum of art can be found at Christie’s and Sotheby’s, ranging from European sculptures and Impressionist oil paintings to Chinese ceramics and modern prints. Auctions are usually themed around a certain artist, medium, time period, or represent a private collection. Often individual events are part of a series, such as Christie’s “First Open” series (launched in 2005) for post-war and contemporary art</w:t>
      </w:r>
      <w:r w:rsidRPr="00726B72">
        <w:rPr>
          <w:rStyle w:val="FootnoteReference"/>
          <w:rFonts w:ascii="Baskerville Old Face" w:hAnsi="Baskerville Old Face"/>
        </w:rPr>
        <w:footnoteReference w:id="5"/>
      </w:r>
      <w:r w:rsidRPr="00726B72">
        <w:rPr>
          <w:rFonts w:ascii="Baskerville Old Face" w:hAnsi="Baskerville Old Face"/>
        </w:rPr>
        <w:t xml:space="preserve">. In recent decades, one sees the rise of other innovations. For example, Sotheby’s and Christie’s offer telephone and online bidding for clients who cannot attend </w:t>
      </w:r>
      <w:r w:rsidRPr="00726B72">
        <w:rPr>
          <w:rFonts w:ascii="Baskerville Old Face" w:hAnsi="Baskerville Old Face"/>
        </w:rPr>
        <w:lastRenderedPageBreak/>
        <w:t>in person (the latter, however, suffers from greater time lag)</w:t>
      </w:r>
      <w:r w:rsidRPr="00726B72">
        <w:rPr>
          <w:rStyle w:val="FootnoteReference"/>
          <w:rFonts w:ascii="Baskerville Old Face" w:hAnsi="Baskerville Old Face"/>
        </w:rPr>
        <w:footnoteReference w:id="6"/>
      </w:r>
      <w:r w:rsidRPr="00726B72">
        <w:rPr>
          <w:rFonts w:ascii="Baskerville Old Face" w:hAnsi="Baskerville Old Face"/>
        </w:rPr>
        <w:t xml:space="preserve">. Both houses also offer art-backed loans, allowing collectors to borrow money against their own artwork – a highly illiquid asset. </w:t>
      </w:r>
      <w:r w:rsidR="00A541C8" w:rsidRPr="00726B72">
        <w:rPr>
          <w:rFonts w:ascii="Baskerville Old Face" w:hAnsi="Baskerville Old Face"/>
        </w:rPr>
        <w:t xml:space="preserve">Finally, </w:t>
      </w:r>
      <w:r w:rsidR="006E49A3" w:rsidRPr="00726B72">
        <w:rPr>
          <w:rFonts w:ascii="Baskerville Old Face" w:hAnsi="Baskerville Old Face"/>
        </w:rPr>
        <w:t xml:space="preserve">some other </w:t>
      </w:r>
      <w:r w:rsidRPr="00726B72">
        <w:rPr>
          <w:rFonts w:ascii="Baskerville Old Face" w:hAnsi="Baskerville Old Face"/>
        </w:rPr>
        <w:t xml:space="preserve">smaller </w:t>
      </w:r>
      <w:r w:rsidR="006E49A3" w:rsidRPr="00726B72">
        <w:rPr>
          <w:rFonts w:ascii="Baskerville Old Face" w:hAnsi="Baskerville Old Face"/>
        </w:rPr>
        <w:t xml:space="preserve">but well-known </w:t>
      </w:r>
      <w:r w:rsidRPr="00726B72">
        <w:rPr>
          <w:rFonts w:ascii="Baskerville Old Face" w:hAnsi="Baskerville Old Face"/>
        </w:rPr>
        <w:t>auction houses include Bonham’s and Phillip’s, both headquartered in the United Kingdom.</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In addition to fine art, both houses run auctions for other luxury goods such as jewelry, automobiles, and furniture – and so many believe these houses play to different strengths. To sell photographs, go to Sotheby’s; to sell books and manuscripts, go to Christie’s</w:t>
      </w:r>
      <w:r w:rsidRPr="00726B72">
        <w:rPr>
          <w:rStyle w:val="FootnoteReference"/>
          <w:rFonts w:ascii="Baskerville Old Face" w:hAnsi="Baskerville Old Face"/>
        </w:rPr>
        <w:footnoteReference w:id="7"/>
      </w:r>
      <w:r w:rsidRPr="00726B72">
        <w:rPr>
          <w:rFonts w:ascii="Baskerville Old Face" w:hAnsi="Baskerville Old Face"/>
        </w:rPr>
        <w:t>. For classic automobiles, go to Bonham’s or Sotheby’s</w:t>
      </w:r>
      <w:r w:rsidRPr="00726B72">
        <w:rPr>
          <w:rStyle w:val="FootnoteReference"/>
          <w:rFonts w:ascii="Baskerville Old Face" w:hAnsi="Baskerville Old Face"/>
        </w:rPr>
        <w:footnoteReference w:id="8"/>
      </w:r>
      <w:r w:rsidRPr="00726B72">
        <w:rPr>
          <w:rFonts w:ascii="Baskerville Old Face" w:hAnsi="Baskerville Old Face"/>
        </w:rPr>
        <w:t xml:space="preserve">. Specialization is not limited to products, either. According to Raphaelle Benabou, the smaller house Bonham’s is appealing to many sellers because lower sales volume (smaller lots) ensures art pieces will be better noticed at auction. Competition between these houses is fierce, and each tries to capture the best consignments and expand market share by luring prospective sellers with benefits such as higher guaranteed prices and waived house commission </w:t>
      </w:r>
      <w:proofErr w:type="gramStart"/>
      <w:r w:rsidRPr="00726B72">
        <w:rPr>
          <w:rFonts w:ascii="Baskerville Old Face" w:hAnsi="Baskerville Old Face"/>
        </w:rPr>
        <w:t>fees</w:t>
      </w:r>
      <w:proofErr w:type="gramEnd"/>
      <w:r w:rsidRPr="00726B72">
        <w:rPr>
          <w:rStyle w:val="FootnoteReference"/>
          <w:rFonts w:ascii="Baskerville Old Face" w:hAnsi="Baskerville Old Face"/>
        </w:rPr>
        <w:footnoteReference w:id="9"/>
      </w:r>
      <w:r w:rsidRPr="00726B72">
        <w:rPr>
          <w:rFonts w:ascii="Baskerville Old Face" w:hAnsi="Baskerville Old Face"/>
        </w:rPr>
        <w:t>. Putting one’s own money on the line means profit margins are thin for both Sotheby’s and Christie’s, and both have lost millions as a result</w:t>
      </w:r>
      <w:r w:rsidRPr="00726B72">
        <w:rPr>
          <w:rStyle w:val="FootnoteReference"/>
          <w:rFonts w:ascii="Baskerville Old Face" w:hAnsi="Baskerville Old Face"/>
        </w:rPr>
        <w:footnoteReference w:id="10"/>
      </w:r>
      <w:r w:rsidRPr="00726B72">
        <w:rPr>
          <w:rFonts w:ascii="Baskerville Old Face" w:hAnsi="Baskerville Old Face"/>
        </w:rPr>
        <w:t xml:space="preserve">. Despite this ongoing cut-throat battle, the two houses have cooperated – and even colluded – at times. For example, according to an auctioneer interview in Hong et al. (2015), Sotheby’s and Christie’s have an agreement to take turns leading New York City’s annual Auction Week, a major event which saw $1.5 billion in art </w:t>
      </w:r>
      <w:r w:rsidRPr="00726B72">
        <w:rPr>
          <w:rFonts w:ascii="Baskerville Old Face" w:hAnsi="Baskerville Old Face"/>
        </w:rPr>
        <w:lastRenderedPageBreak/>
        <w:t>sales in 2014</w:t>
      </w:r>
      <w:r w:rsidRPr="00726B72">
        <w:rPr>
          <w:rStyle w:val="FootnoteReference"/>
          <w:rFonts w:ascii="Baskerville Old Face" w:hAnsi="Baskerville Old Face"/>
        </w:rPr>
        <w:footnoteReference w:id="11"/>
      </w:r>
      <w:r w:rsidRPr="00726B72">
        <w:rPr>
          <w:rFonts w:ascii="Baskerville Old Face" w:hAnsi="Baskerville Old Face"/>
        </w:rPr>
        <w:t>. The early 2000’s saw an infamous scandal where both houses fixed commission prices charged to sellers, and once convicted, were required to pay back $256 million to customers (and for Sotheby’s, shareholders)</w:t>
      </w:r>
      <w:r w:rsidRPr="00726B72">
        <w:rPr>
          <w:rStyle w:val="FootnoteReference"/>
          <w:rFonts w:ascii="Baskerville Old Face" w:hAnsi="Baskerville Old Face"/>
        </w:rPr>
        <w:footnoteReference w:id="12"/>
      </w:r>
      <w:r w:rsidRPr="00726B72">
        <w:rPr>
          <w:rFonts w:ascii="Baskerville Old Face" w:hAnsi="Baskerville Old Face"/>
        </w:rPr>
        <w:t xml:space="preserve">. </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 xml:space="preserve">The auction process </w:t>
      </w:r>
      <w:r w:rsidR="00E5559B" w:rsidRPr="00726B72">
        <w:rPr>
          <w:rFonts w:ascii="Baskerville Old Face" w:hAnsi="Baskerville Old Face"/>
        </w:rPr>
        <w:t>is</w:t>
      </w:r>
      <w:r w:rsidRPr="00726B72">
        <w:rPr>
          <w:rFonts w:ascii="Baskerville Old Face" w:hAnsi="Baskerville Old Face"/>
        </w:rPr>
        <w:t xml:space="preserve"> as follows. First, a client (prospective seller) will begin by requesting an auction estimate from the auction house for their item of interest, either by submitting photographs or scheduling an in-person appointment with a specialist. After assessing whether the item is appropriate for auction, the house will negotiate with the seller (e.g. for the reserve price) and draw up a seller’s contract. The item then goes to the house to be officially photographed, catalogued, and stored before the auction event</w:t>
      </w:r>
      <w:r w:rsidRPr="00726B72">
        <w:rPr>
          <w:rStyle w:val="FootnoteReference"/>
          <w:rFonts w:ascii="Baskerville Old Face" w:hAnsi="Baskerville Old Face"/>
        </w:rPr>
        <w:footnoteReference w:id="13"/>
      </w:r>
      <w:r w:rsidRPr="00726B72">
        <w:rPr>
          <w:rFonts w:ascii="Baskerville Old Face" w:hAnsi="Baskerville Old Face"/>
        </w:rPr>
        <w:t xml:space="preserve">. Of course, many clients visit more than one auction house to compare </w:t>
      </w:r>
      <w:r w:rsidR="007264F7" w:rsidRPr="00726B72">
        <w:rPr>
          <w:rFonts w:ascii="Baskerville Old Face" w:hAnsi="Baskerville Old Face"/>
        </w:rPr>
        <w:t>arrangements.</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 xml:space="preserve">Three quantities are determined by the seller and the house before any auction: a low and a high presale estimate for the art piece, and a reserve price. The low and high estimates represent the range of possible values the piece might go for, and are usually decided upon by a committee of in-house art experts. As shown empirically by </w:t>
      </w:r>
      <w:proofErr w:type="spellStart"/>
      <w:r w:rsidRPr="00726B72">
        <w:rPr>
          <w:rFonts w:ascii="Baskerville Old Face" w:hAnsi="Baskerville Old Face"/>
        </w:rPr>
        <w:t>Ashenfelter</w:t>
      </w:r>
      <w:proofErr w:type="spellEnd"/>
      <w:r w:rsidRPr="00726B72">
        <w:rPr>
          <w:rFonts w:ascii="Baskerville Old Face" w:hAnsi="Baskerville Old Face"/>
        </w:rPr>
        <w:t xml:space="preserve"> (1989), these estimates do generally seem to accurately predict the item’s sale price</w:t>
      </w:r>
      <w:r w:rsidRPr="00726B72">
        <w:rPr>
          <w:rStyle w:val="FootnoteReference"/>
          <w:rFonts w:ascii="Baskerville Old Face" w:hAnsi="Baskerville Old Face"/>
        </w:rPr>
        <w:footnoteReference w:id="14"/>
      </w:r>
      <w:r w:rsidRPr="00726B72">
        <w:rPr>
          <w:rFonts w:ascii="Baskerville Old Face" w:hAnsi="Baskerville Old Face"/>
        </w:rPr>
        <w:t xml:space="preserve">. Some significant cross-house differences may exist: </w:t>
      </w:r>
      <w:proofErr w:type="spellStart"/>
      <w:r w:rsidRPr="00726B72">
        <w:rPr>
          <w:rFonts w:ascii="Baskerville Old Face" w:hAnsi="Baskerville Old Face"/>
        </w:rPr>
        <w:t>Bauwens</w:t>
      </w:r>
      <w:proofErr w:type="spellEnd"/>
      <w:r w:rsidRPr="00726B72">
        <w:rPr>
          <w:rFonts w:ascii="Baskerville Old Face" w:hAnsi="Baskerville Old Face"/>
        </w:rPr>
        <w:t xml:space="preserve"> and </w:t>
      </w:r>
      <w:proofErr w:type="spellStart"/>
      <w:r w:rsidRPr="00726B72">
        <w:rPr>
          <w:rFonts w:ascii="Baskerville Old Face" w:hAnsi="Baskerville Old Face"/>
        </w:rPr>
        <w:t>Ginsburgh</w:t>
      </w:r>
      <w:proofErr w:type="spellEnd"/>
      <w:r w:rsidRPr="00726B72">
        <w:rPr>
          <w:rFonts w:ascii="Baskerville Old Face" w:hAnsi="Baskerville Old Face"/>
        </w:rPr>
        <w:t xml:space="preserve"> (2000) show that in certain art categories, Sotheby’s tends to undervalue expensive pieces and overvalue inexpensive ones, while Christie’s does the opposite</w:t>
      </w:r>
      <w:r w:rsidRPr="00726B72">
        <w:rPr>
          <w:rStyle w:val="FootnoteReference"/>
          <w:rFonts w:ascii="Baskerville Old Face" w:hAnsi="Baskerville Old Face"/>
        </w:rPr>
        <w:footnoteReference w:id="15"/>
      </w:r>
      <w:r w:rsidRPr="00726B72">
        <w:rPr>
          <w:rFonts w:ascii="Baskerville Old Face" w:hAnsi="Baskerville Old Face"/>
        </w:rPr>
        <w:t xml:space="preserve">. In negotiations, the seller and the house also determine a secret reserve price known only to those two parties. The reserve </w:t>
      </w:r>
      <w:r w:rsidRPr="00726B72">
        <w:rPr>
          <w:rFonts w:ascii="Baskerville Old Face" w:hAnsi="Baskerville Old Face"/>
        </w:rPr>
        <w:lastRenderedPageBreak/>
        <w:t xml:space="preserve">price is a closely guarded secret in the art auction world, but according to estimates by </w:t>
      </w:r>
      <w:proofErr w:type="spellStart"/>
      <w:r w:rsidRPr="00726B72">
        <w:rPr>
          <w:rFonts w:ascii="Baskerville Old Face" w:hAnsi="Baskerville Old Face"/>
        </w:rPr>
        <w:t>Ashenfelter</w:t>
      </w:r>
      <w:proofErr w:type="spellEnd"/>
      <w:r w:rsidRPr="00726B72">
        <w:rPr>
          <w:rFonts w:ascii="Baskerville Old Face" w:hAnsi="Baskerville Old Face"/>
        </w:rPr>
        <w:t xml:space="preserve">, </w:t>
      </w:r>
      <w:proofErr w:type="spellStart"/>
      <w:r w:rsidRPr="00726B72">
        <w:rPr>
          <w:rFonts w:ascii="Baskerville Old Face" w:hAnsi="Baskerville Old Face"/>
        </w:rPr>
        <w:t>Graddy</w:t>
      </w:r>
      <w:proofErr w:type="spellEnd"/>
      <w:r w:rsidRPr="00726B72">
        <w:rPr>
          <w:rFonts w:ascii="Baskerville Old Face" w:hAnsi="Baskerville Old Face"/>
        </w:rPr>
        <w:t xml:space="preserve"> and Stevens (2004), the reserve price may be set around 70-80% of the low estimate. It is unclear why the reserve is concealed, but Vincent (1995) also suggests that under certain circumstances, announcing the reserve may discourage potential bidders from participating and could lower overall bids</w:t>
      </w:r>
      <w:r w:rsidRPr="00726B72">
        <w:rPr>
          <w:rStyle w:val="FootnoteReference"/>
          <w:rFonts w:ascii="Baskerville Old Face" w:hAnsi="Baskerville Old Face"/>
        </w:rPr>
        <w:footnoteReference w:id="16"/>
      </w:r>
      <w:r w:rsidRPr="00726B72">
        <w:rPr>
          <w:rFonts w:ascii="Baskerville Old Face" w:hAnsi="Baskerville Old Face"/>
        </w:rPr>
        <w:t xml:space="preserve">. </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 xml:space="preserve">Before an auction, the house will typically put out a presale catalog for the art pieces, which is usually available both online and in print. In addition to the presale estimates, the description of each piece can include information such as the artist, the materials and a condition report, various signs of authenticity such as a signature, and who previously owned the work (provenance). Houses also host pre-auction viewings where both potential bidders and the public can examine the art pieces in person.  Bidders must register before an auction, and for particularly opulent auctions, must show proof of their assets. </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Auctions are almost always conducted in an ascending first price format. Unless starting bids have already been pre-placed, the auctioneer starts low (somewhere below the secret reserve price</w:t>
      </w:r>
      <w:r w:rsidRPr="00726B72">
        <w:rPr>
          <w:rStyle w:val="FootnoteReference"/>
          <w:rFonts w:ascii="Baskerville Old Face" w:hAnsi="Baskerville Old Face"/>
        </w:rPr>
        <w:footnoteReference w:id="17"/>
      </w:r>
      <w:r w:rsidRPr="00726B72">
        <w:rPr>
          <w:rFonts w:ascii="Baskerville Old Face" w:hAnsi="Baskerville Old Face"/>
        </w:rPr>
        <w:t>) and calls increasing prices</w:t>
      </w:r>
      <w:r w:rsidRPr="00726B72">
        <w:rPr>
          <w:rStyle w:val="FootnoteReference"/>
          <w:rFonts w:ascii="Baskerville Old Face" w:hAnsi="Baskerville Old Face"/>
        </w:rPr>
        <w:footnoteReference w:id="18"/>
      </w:r>
      <w:r w:rsidRPr="00726B72">
        <w:rPr>
          <w:rFonts w:ascii="Baskerville Old Face" w:hAnsi="Baskerville Old Face"/>
        </w:rPr>
        <w:t xml:space="preserve"> until the bidding stops, at which the item is declared to be “knocked down” or “hammered down.” The final price is the “hammer price,” on top of which the house adds a commission or “buyer’s premium,” usually 20% to 25% of the hammer price, before the winning bidder receives the item</w:t>
      </w:r>
      <w:r w:rsidRPr="00726B72">
        <w:rPr>
          <w:rStyle w:val="FootnoteReference"/>
          <w:rFonts w:ascii="Baskerville Old Face" w:hAnsi="Baskerville Old Face"/>
        </w:rPr>
        <w:footnoteReference w:id="19"/>
      </w:r>
      <w:r w:rsidRPr="00726B72">
        <w:rPr>
          <w:rFonts w:ascii="Baskerville Old Face" w:hAnsi="Baskerville Old Face"/>
        </w:rPr>
        <w:t xml:space="preserve">. At Sotheby’s and Christie’s, the seller receives payment approximately 35 </w:t>
      </w:r>
      <w:r w:rsidRPr="00726B72">
        <w:rPr>
          <w:rFonts w:ascii="Baskerville Old Face" w:hAnsi="Baskerville Old Face"/>
        </w:rPr>
        <w:lastRenderedPageBreak/>
        <w:t>days after the auction, minus a “seller’s premium” fee which is often around 10% of the hammer price</w:t>
      </w:r>
      <w:r w:rsidRPr="00726B72">
        <w:rPr>
          <w:rStyle w:val="FootnoteReference"/>
          <w:rFonts w:ascii="Baskerville Old Face" w:hAnsi="Baskerville Old Face"/>
        </w:rPr>
        <w:footnoteReference w:id="20"/>
      </w:r>
      <w:r w:rsidRPr="00726B72">
        <w:rPr>
          <w:rFonts w:ascii="Baskerville Old Face" w:hAnsi="Baskerville Old Face"/>
        </w:rPr>
        <w:t xml:space="preserve"> </w:t>
      </w:r>
      <w:r w:rsidRPr="00726B72">
        <w:rPr>
          <w:rStyle w:val="FootnoteReference"/>
          <w:rFonts w:ascii="Baskerville Old Face" w:hAnsi="Baskerville Old Face"/>
        </w:rPr>
        <w:footnoteReference w:id="21"/>
      </w:r>
      <w:r w:rsidRPr="00726B72">
        <w:rPr>
          <w:rFonts w:ascii="Baskerville Old Face" w:hAnsi="Baskerville Old Face"/>
        </w:rPr>
        <w:t xml:space="preserve">.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and according to </w:t>
      </w:r>
      <w:proofErr w:type="spellStart"/>
      <w:r w:rsidRPr="00726B72">
        <w:rPr>
          <w:rFonts w:ascii="Baskerville Old Face" w:hAnsi="Baskerville Old Face"/>
        </w:rPr>
        <w:t>Ashenfelter</w:t>
      </w:r>
      <w:proofErr w:type="spellEnd"/>
      <w:r w:rsidRPr="00726B72">
        <w:rPr>
          <w:rFonts w:ascii="Baskerville Old Face" w:hAnsi="Baskerville Old Face"/>
        </w:rPr>
        <w:t xml:space="preserve"> &amp; </w:t>
      </w:r>
      <w:proofErr w:type="spellStart"/>
      <w:r w:rsidRPr="00726B72">
        <w:rPr>
          <w:rFonts w:ascii="Baskerville Old Face" w:hAnsi="Baskerville Old Face"/>
        </w:rPr>
        <w:t>Graddy</w:t>
      </w:r>
      <w:proofErr w:type="spellEnd"/>
      <w:r w:rsidRPr="00726B72">
        <w:rPr>
          <w:rFonts w:ascii="Baskerville Old Face" w:hAnsi="Baskerville Old Face"/>
        </w:rPr>
        <w:t xml:space="preserve"> (2003) houses in other locations are following this trend</w:t>
      </w:r>
      <w:r w:rsidRPr="00726B72">
        <w:rPr>
          <w:rStyle w:val="FootnoteReference"/>
          <w:rFonts w:ascii="Baskerville Old Face" w:hAnsi="Baskerville Old Face"/>
        </w:rPr>
        <w:footnoteReference w:id="22"/>
      </w:r>
      <w:r w:rsidRPr="00726B72">
        <w:rPr>
          <w:rFonts w:ascii="Baskerville Old Face" w:hAnsi="Baskerville Old Face"/>
        </w:rPr>
        <w:t xml:space="preserve">. </w:t>
      </w:r>
    </w:p>
    <w:p w:rsidR="00FF308B" w:rsidRPr="00726B72" w:rsidRDefault="00FF308B" w:rsidP="00FF308B">
      <w:pPr>
        <w:spacing w:line="480" w:lineRule="auto"/>
        <w:rPr>
          <w:rFonts w:ascii="Baskerville Old Face" w:hAnsi="Baskerville Old Face"/>
        </w:rPr>
      </w:pPr>
    </w:p>
    <w:p w:rsidR="00FF308B" w:rsidRPr="00726B72" w:rsidRDefault="00FF308B" w:rsidP="00FF308B">
      <w:pPr>
        <w:spacing w:line="480" w:lineRule="auto"/>
        <w:ind w:firstLine="0"/>
        <w:jc w:val="both"/>
        <w:rPr>
          <w:rFonts w:ascii="Baskerville Old Face" w:hAnsi="Baskerville Old Face"/>
          <w:b/>
        </w:rPr>
      </w:pPr>
      <w:r w:rsidRPr="00726B72">
        <w:rPr>
          <w:rFonts w:ascii="Baskerville Old Face" w:hAnsi="Baskerville Old Face"/>
          <w:b/>
        </w:rPr>
        <w:t>HOW ANCHORING AFFECTS ART AUCTIONS</w:t>
      </w:r>
    </w:p>
    <w:p w:rsidR="00FF308B" w:rsidRPr="00726B72" w:rsidRDefault="00FF308B" w:rsidP="00FF308B">
      <w:pPr>
        <w:spacing w:line="480" w:lineRule="auto"/>
        <w:ind w:firstLine="0"/>
        <w:jc w:val="both"/>
        <w:rPr>
          <w:rFonts w:ascii="Baskerville Old Face" w:hAnsi="Baskerville Old Face"/>
        </w:rPr>
      </w:pPr>
      <w:r w:rsidRPr="00726B72">
        <w:rPr>
          <w:rFonts w:ascii="Baskerville Old Face" w:hAnsi="Baskerville Old Face"/>
        </w:rPr>
        <w:t>The auction market is particularly prone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The auction format, designed to set prices by discovering private valuations, is a natural way to tackle this issue. Yet auctions are perhaps shaped the most by behavioral phenomena: the thrill of winning, for example, can spark bidding wars that drive up sale prices far beyond an artwork’s estimated value</w:t>
      </w:r>
      <w:r w:rsidRPr="00726B72">
        <w:rPr>
          <w:rStyle w:val="FootnoteReference"/>
          <w:rFonts w:ascii="Baskerville Old Face" w:hAnsi="Baskerville Old Face"/>
        </w:rPr>
        <w:footnoteReference w:id="23"/>
      </w:r>
      <w:r w:rsidRPr="00726B72">
        <w:rPr>
          <w:rFonts w:ascii="Baskerville Old Face" w:hAnsi="Baskerville Old Face"/>
        </w:rPr>
        <w:t>.</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 xml:space="preserve">Anchoring is one of the most-studied biases in the behavioral sciences: it is at once trivial to demonstrate and difficult to explain away. This effect occurs when first (quantitative) impressions </w:t>
      </w:r>
      <w:r w:rsidRPr="00726B72">
        <w:rPr>
          <w:rFonts w:ascii="Baskerville Old Face" w:hAnsi="Baskerville Old Face"/>
        </w:rPr>
        <w:lastRenderedPageBreak/>
        <w:t>distort future outcomes – even when the initial information is irrelevant</w:t>
      </w:r>
      <w:r w:rsidRPr="00726B72">
        <w:rPr>
          <w:rStyle w:val="FootnoteReference"/>
          <w:rFonts w:ascii="Baskerville Old Face" w:hAnsi="Baskerville Old Face"/>
        </w:rPr>
        <w:footnoteReference w:id="24"/>
      </w:r>
      <w:r w:rsidRPr="00726B72">
        <w:rPr>
          <w:rFonts w:ascii="Baskerville Old Face" w:hAnsi="Baskerville Old Face"/>
        </w:rPr>
        <w:t xml:space="preserve"> </w:t>
      </w:r>
      <w:r w:rsidRPr="00726B72">
        <w:rPr>
          <w:rStyle w:val="FootnoteReference"/>
          <w:rFonts w:ascii="Baskerville Old Face" w:hAnsi="Baskerville Old Face"/>
        </w:rPr>
        <w:footnoteReference w:id="25"/>
      </w:r>
      <w:r w:rsidRPr="00726B72">
        <w:rPr>
          <w:rFonts w:ascii="Baskerville Old Face" w:hAnsi="Baskerville Old Face"/>
        </w:rPr>
        <w:t xml:space="preserve"> or obviously mistaken</w:t>
      </w:r>
      <w:r w:rsidRPr="00726B72">
        <w:rPr>
          <w:rStyle w:val="FootnoteReference"/>
          <w:rFonts w:ascii="Baskerville Old Face" w:hAnsi="Baskerville Old Face"/>
        </w:rPr>
        <w:footnoteReference w:id="26"/>
      </w:r>
      <w:r w:rsidRPr="00726B72">
        <w:rPr>
          <w:rFonts w:ascii="Baskerville Old Face" w:hAnsi="Baskerville Old Face"/>
        </w:rPr>
        <w:t xml:space="preserve">. </w:t>
      </w:r>
      <w:r w:rsidR="00150855" w:rsidRPr="00726B72">
        <w:rPr>
          <w:rFonts w:ascii="Baskerville Old Face" w:hAnsi="Baskerville Old Face"/>
        </w:rPr>
        <w:t>For instance</w:t>
      </w:r>
      <w:r w:rsidRPr="00726B72">
        <w:rPr>
          <w:rFonts w:ascii="Baskerville Old Face" w:hAnsi="Baskerville Old Face"/>
        </w:rPr>
        <w:t xml:space="preserve">, a record high sale price for an Edgar Degas ballerina sculpture in March may induce buyers in April to pay more for other Degas ballerinas, even if the </w:t>
      </w:r>
      <w:r w:rsidR="000D0EB5" w:rsidRPr="00726B72">
        <w:rPr>
          <w:rFonts w:ascii="Baskerville Old Face" w:hAnsi="Baskerville Old Face"/>
        </w:rPr>
        <w:t xml:space="preserve">hedonic value </w:t>
      </w:r>
      <w:r w:rsidR="0045433B" w:rsidRPr="00726B72">
        <w:rPr>
          <w:rFonts w:ascii="Baskerville Old Face" w:hAnsi="Baskerville Old Face"/>
        </w:rPr>
        <w:t xml:space="preserve">of Degas ballerina pieces </w:t>
      </w:r>
      <w:r w:rsidR="004B54C3" w:rsidRPr="00726B72">
        <w:rPr>
          <w:rFonts w:ascii="Baskerville Old Face" w:hAnsi="Baskerville Old Face"/>
        </w:rPr>
        <w:t>does not change</w:t>
      </w:r>
      <w:r w:rsidRPr="00726B72">
        <w:rPr>
          <w:rFonts w:ascii="Baskerville Old Face" w:hAnsi="Baskerville Old Face"/>
        </w:rPr>
        <w:t xml:space="preserve"> </w:t>
      </w:r>
      <w:r w:rsidR="00FF7E5B" w:rsidRPr="00726B72">
        <w:rPr>
          <w:rFonts w:ascii="Baskerville Old Face" w:hAnsi="Baskerville Old Face"/>
        </w:rPr>
        <w:t>month-to-month</w:t>
      </w:r>
      <w:r w:rsidRPr="00726B72">
        <w:rPr>
          <w:rFonts w:ascii="Baskerville Old Face" w:hAnsi="Baskerville Old Face"/>
        </w:rPr>
        <w:t xml:space="preserve">. It is </w:t>
      </w:r>
      <w:r w:rsidR="00997819" w:rsidRPr="00726B72">
        <w:rPr>
          <w:rFonts w:ascii="Baskerville Old Face" w:hAnsi="Baskerville Old Face"/>
        </w:rPr>
        <w:t>important</w:t>
      </w:r>
      <w:r w:rsidRPr="00726B72">
        <w:rPr>
          <w:rFonts w:ascii="Baskerville Old Face" w:hAnsi="Baskerville Old Face"/>
        </w:rPr>
        <w:t xml:space="preserve"> to understand that anchoring differs from rational learning, in which past prices do correspond to </w:t>
      </w:r>
      <w:r w:rsidR="00FE1512" w:rsidRPr="00726B72">
        <w:rPr>
          <w:rFonts w:ascii="Baskerville Old Face" w:hAnsi="Baskerville Old Face"/>
        </w:rPr>
        <w:t>shifts</w:t>
      </w:r>
      <w:r w:rsidRPr="00726B72">
        <w:rPr>
          <w:rFonts w:ascii="Baskerville Old Face" w:hAnsi="Baskerville Old Face"/>
        </w:rPr>
        <w:t xml:space="preserve"> in hedonic quality and thus are legitimately informative for predicting future prices</w:t>
      </w:r>
      <w:r w:rsidRPr="00726B72">
        <w:rPr>
          <w:rStyle w:val="FootnoteReference"/>
          <w:rFonts w:ascii="Baskerville Old Face" w:hAnsi="Baskerville Old Face"/>
        </w:rPr>
        <w:footnoteReference w:id="27"/>
      </w:r>
      <w:r w:rsidRPr="00726B72">
        <w:rPr>
          <w:rFonts w:ascii="Baskerville Old Face" w:hAnsi="Baskerville Old Face"/>
        </w:rPr>
        <w:t xml:space="preserve">. </w:t>
      </w:r>
      <w:proofErr w:type="spellStart"/>
      <w:r w:rsidRPr="00726B72">
        <w:rPr>
          <w:rFonts w:ascii="Baskerville Old Face" w:hAnsi="Baskerville Old Face"/>
        </w:rPr>
        <w:t>Beggs</w:t>
      </w:r>
      <w:proofErr w:type="spellEnd"/>
      <w:r w:rsidRPr="00726B72">
        <w:rPr>
          <w:rFonts w:ascii="Baskerville Old Face" w:hAnsi="Baskerville Old Face"/>
        </w:rPr>
        <w:t xml:space="preserve"> &amp; </w:t>
      </w:r>
      <w:proofErr w:type="spellStart"/>
      <w:r w:rsidRPr="00726B72">
        <w:rPr>
          <w:rFonts w:ascii="Baskerville Old Face" w:hAnsi="Baskerville Old Face"/>
        </w:rPr>
        <w:t>Graddy</w:t>
      </w:r>
      <w:proofErr w:type="spellEnd"/>
      <w:r w:rsidRPr="00726B72">
        <w:rPr>
          <w:rFonts w:ascii="Baskerville Old Face" w:hAnsi="Baskerville Old Face"/>
        </w:rPr>
        <w:t xml:space="preserve"> (2009) argue that demand for art changes over time, but underlying hedonic quality remains constant, thus allowing anchoring to be identified. </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If the quality changes, then we can still identify anchoring, given we control for those differences</w:t>
      </w:r>
      <w:r w:rsidRPr="00726B72">
        <w:rPr>
          <w:rStyle w:val="FootnoteReference"/>
          <w:rFonts w:ascii="Baskerville Old Face" w:hAnsi="Baskerville Old Face"/>
        </w:rPr>
        <w:footnoteReference w:id="28"/>
      </w:r>
      <w:r w:rsidRPr="00726B72">
        <w:rPr>
          <w:rFonts w:ascii="Baskerville Old Face" w:hAnsi="Baskerville Old Face"/>
        </w:rPr>
        <w:t xml:space="preserve">. This allows us to generalize the work of </w:t>
      </w:r>
      <w:proofErr w:type="spellStart"/>
      <w:r w:rsidRPr="00726B72">
        <w:rPr>
          <w:rFonts w:ascii="Baskerville Old Face" w:hAnsi="Baskerville Old Face"/>
        </w:rPr>
        <w:t>Beggs</w:t>
      </w:r>
      <w:proofErr w:type="spellEnd"/>
      <w:r w:rsidRPr="00726B72">
        <w:rPr>
          <w:rFonts w:ascii="Baskerville Old Face" w:hAnsi="Baskerville Old Face"/>
        </w:rPr>
        <w:t xml:space="preserve"> &amp; </w:t>
      </w:r>
      <w:proofErr w:type="spellStart"/>
      <w:r w:rsidRPr="00726B72">
        <w:rPr>
          <w:rFonts w:ascii="Baskerville Old Face" w:hAnsi="Baskerville Old Face"/>
        </w:rPr>
        <w:t>Graddy</w:t>
      </w:r>
      <w:proofErr w:type="spellEnd"/>
      <w:r w:rsidRPr="00726B72">
        <w:rPr>
          <w:rFonts w:ascii="Baskerville Old Face" w:hAnsi="Baskerville Old Face"/>
        </w:rPr>
        <w:t xml:space="preserve"> (2009) beyond resales of the same good to sales of similar (substitute) goods. We define anchoring as follows: </w:t>
      </w:r>
      <w:r w:rsidRPr="00726B72">
        <w:rPr>
          <w:rFonts w:ascii="Baskerville Old Face" w:hAnsi="Baskerville Old Face"/>
          <w:i/>
        </w:rPr>
        <w:t>when past observed quantities bias future quantities beyond hedonic factors, which either remain constant or whose changes are controlled for</w:t>
      </w:r>
      <w:r w:rsidRPr="00726B72">
        <w:rPr>
          <w:rFonts w:ascii="Baskerville Old Face" w:hAnsi="Baskerville Old Face"/>
        </w:rPr>
        <w:t>. Even after controlling for such factors, the mechanism by which past quantities impact future ones is still a black box: this impact may be attributed to buyers, sellers, auctioneers, or some combination of all three</w:t>
      </w:r>
      <w:r w:rsidRPr="00726B72">
        <w:rPr>
          <w:rStyle w:val="FootnoteReference"/>
          <w:rFonts w:ascii="Baskerville Old Face" w:hAnsi="Baskerville Old Face"/>
        </w:rPr>
        <w:footnoteReference w:id="29"/>
      </w:r>
      <w:r w:rsidRPr="00726B72">
        <w:rPr>
          <w:rFonts w:ascii="Baskerville Old Face" w:hAnsi="Baskerville Old Face"/>
        </w:rPr>
        <w:t xml:space="preserve">. For instance, the knowledge of a past price may affect buyers not only directly, but indirectly through the presale estimates set by auction house </w:t>
      </w:r>
      <w:r w:rsidRPr="00726B72">
        <w:rPr>
          <w:rFonts w:ascii="Baskerville Old Face" w:hAnsi="Baskerville Old Face"/>
        </w:rPr>
        <w:lastRenderedPageBreak/>
        <w:t>researchers. Hence, the mere observation of this effect suffices fo</w:t>
      </w:r>
      <w:r w:rsidR="00B9224C" w:rsidRPr="00726B72">
        <w:rPr>
          <w:rFonts w:ascii="Baskerville Old Face" w:hAnsi="Baskerville Old Face"/>
        </w:rPr>
        <w:t>r our definition of anchoring. Next, w</w:t>
      </w:r>
      <w:r w:rsidRPr="00726B72">
        <w:rPr>
          <w:rFonts w:ascii="Baskerville Old Face" w:hAnsi="Baskerville Old Face"/>
        </w:rPr>
        <w:t>e outline just a few ways in which anchoring can impact auctions for art.</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 xml:space="preserve">Bidders may anchor on numbers provided prior to auction: this can include presale estimates and past sale prices for a work of art, as well as estimates and prices for related pieces. The former is expected to anchor bidder perceptions, because the purpose of presale estimates is to provide a baseline idea of how much an art piece is worth. </w:t>
      </w:r>
      <w:r w:rsidR="00866E22" w:rsidRPr="00726B72">
        <w:rPr>
          <w:rFonts w:ascii="Baskerville Old Face" w:hAnsi="Baskerville Old Face"/>
        </w:rPr>
        <w:t>P</w:t>
      </w:r>
      <w:r w:rsidRPr="00726B72">
        <w:rPr>
          <w:rFonts w:ascii="Baskerville Old Face" w:hAnsi="Baskerville Old Face"/>
        </w:rPr>
        <w:t xml:space="preserve">ast sales prices may reflect not only the hedonic value of an art piece, but also unobserved characteristics such as bidding activity, the wealth of individual customers, and even </w:t>
      </w:r>
      <w:r w:rsidR="001C63DB" w:rsidRPr="00726B72">
        <w:rPr>
          <w:rFonts w:ascii="Baskerville Old Face" w:hAnsi="Baskerville Old Face"/>
        </w:rPr>
        <w:t xml:space="preserve">exogenous </w:t>
      </w:r>
      <w:r w:rsidR="00AB5D0A" w:rsidRPr="00726B72">
        <w:rPr>
          <w:rFonts w:ascii="Baskerville Old Face" w:hAnsi="Baskerville Old Face"/>
        </w:rPr>
        <w:t xml:space="preserve">factors such as the </w:t>
      </w:r>
      <w:r w:rsidRPr="00726B72">
        <w:rPr>
          <w:rFonts w:ascii="Baskerville Old Face" w:hAnsi="Baskerville Old Face"/>
        </w:rPr>
        <w:t>weather</w:t>
      </w:r>
      <w:r w:rsidRPr="00726B72">
        <w:rPr>
          <w:rStyle w:val="FootnoteReference"/>
          <w:rFonts w:ascii="Baskerville Old Face" w:hAnsi="Baskerville Old Face"/>
        </w:rPr>
        <w:footnoteReference w:id="30"/>
      </w:r>
      <w:r w:rsidRPr="00726B72">
        <w:rPr>
          <w:rFonts w:ascii="Baskerville Old Face" w:hAnsi="Baskerville Old Face"/>
        </w:rPr>
        <w:t>. It is worth noting that anchoring is extremely difficult to avoid and can bias even experts in the field, though more expertise does guard against anchoring</w:t>
      </w:r>
      <w:r w:rsidRPr="00726B72">
        <w:rPr>
          <w:rStyle w:val="FootnoteReference"/>
          <w:rFonts w:ascii="Baskerville Old Face" w:hAnsi="Baskerville Old Face"/>
        </w:rPr>
        <w:footnoteReference w:id="31"/>
      </w:r>
      <w:r w:rsidRPr="00726B72">
        <w:rPr>
          <w:rFonts w:ascii="Baskerville Old Face" w:hAnsi="Baskerville Old Face"/>
        </w:rPr>
        <w:t>. Additionally, anchoring effects tend to weaken when the value of goods is well-known.</w:t>
      </w:r>
    </w:p>
    <w:p w:rsidR="00FF308B" w:rsidRPr="00726B72" w:rsidRDefault="00FF308B" w:rsidP="00FF308B">
      <w:pPr>
        <w:spacing w:line="480" w:lineRule="auto"/>
        <w:jc w:val="both"/>
        <w:rPr>
          <w:rFonts w:ascii="Baskerville Old Face" w:hAnsi="Baskerville Old Face"/>
        </w:rPr>
      </w:pPr>
      <w:r w:rsidRPr="00726B72">
        <w:rPr>
          <w:rFonts w:ascii="Baskerville Old Face" w:hAnsi="Baskerville Old Face"/>
        </w:rPr>
        <w:t>Sellers, when setting reserve prices, may anchor on past sales prices. Past economic psychology research</w:t>
      </w:r>
      <w:r w:rsidRPr="00726B72">
        <w:rPr>
          <w:rStyle w:val="FootnoteReference"/>
          <w:rFonts w:ascii="Baskerville Old Face" w:hAnsi="Baskerville Old Face"/>
        </w:rPr>
        <w:footnoteReference w:id="32"/>
      </w:r>
      <w:r w:rsidRPr="00726B72">
        <w:rPr>
          <w:rFonts w:ascii="Baskerville Old Face" w:hAnsi="Baskerville Old Face"/>
        </w:rPr>
        <w:t xml:space="preserve"> finds that anchoring is more powerful for sellers than for buyers, though anchoring is weaker with more experience selling the goods of concern</w:t>
      </w:r>
      <w:r w:rsidRPr="00726B72">
        <w:rPr>
          <w:rStyle w:val="FootnoteReference"/>
          <w:rFonts w:ascii="Baskerville Old Face" w:hAnsi="Baskerville Old Face"/>
        </w:rPr>
        <w:footnoteReference w:id="33"/>
      </w:r>
      <w:r w:rsidRPr="00726B72">
        <w:rPr>
          <w:rFonts w:ascii="Baskerville Old Face" w:hAnsi="Baskerville Old Face"/>
        </w:rPr>
        <w:t xml:space="preserve">. While sellers may experience anchoring when setting reserve prices, auctioneers can actively anchor bidder perceptions of value through what numbers they call out, particularly at the start of an auction. Hence, quickly </w:t>
      </w:r>
      <w:r w:rsidRPr="00726B72">
        <w:rPr>
          <w:rFonts w:ascii="Baskerville Old Face" w:hAnsi="Baskerville Old Face"/>
        </w:rPr>
        <w:lastRenderedPageBreak/>
        <w:t>calling out numbers at the start can be a powerful tool for the auctioneer, but one veteran auctioneer warns against setting anchors too high (to drive up future bids) or too low (to attract starting bids)</w:t>
      </w:r>
      <w:r w:rsidRPr="00726B72">
        <w:rPr>
          <w:rStyle w:val="FootnoteReference"/>
          <w:rFonts w:ascii="Baskerville Old Face" w:hAnsi="Baskerville Old Face"/>
        </w:rPr>
        <w:footnoteReference w:id="34"/>
      </w:r>
      <w:r w:rsidRPr="00726B72">
        <w:rPr>
          <w:rFonts w:ascii="Baskerville Old Face" w:hAnsi="Baskerville Old Face"/>
        </w:rPr>
        <w:t xml:space="preserve">. Go too high, and your numbers lose credibility; go too low, and bidders will suspect something is wrong with the good. </w:t>
      </w:r>
    </w:p>
    <w:p w:rsidR="00FF308B" w:rsidRPr="00726B72" w:rsidRDefault="00FF308B" w:rsidP="00FF308B">
      <w:pPr>
        <w:spacing w:line="480" w:lineRule="auto"/>
        <w:ind w:firstLine="0"/>
        <w:jc w:val="both"/>
        <w:rPr>
          <w:rFonts w:ascii="Baskerville Old Face" w:hAnsi="Baskerville Old Face"/>
        </w:rPr>
      </w:pPr>
      <w:r w:rsidRPr="00726B72">
        <w:rPr>
          <w:rFonts w:ascii="Baskerville Old Face" w:hAnsi="Baskerville Old Face"/>
        </w:rPr>
        <w:tab/>
        <w:t>We learned from our interviews that auction houses are aware of anchoring effects. For example, when internal departments need to determine presale estimates for a work of art, a single specialist will research past sales of comparable pieces (same artist, medium, etc.) to get an idea of how much revenue to expect. Next, the specialist tells others in the department about the current work of art – but without revealing any prices from related past sales (which, if done, would introduce anchoring). Every person volunteers an estimate for the current work, and only then does the specialist reveal what related works went for in the past. From there presale estimates are formed, presumably as a combination of past sales information (the anchors) and more up-to-date expert knowledge of the art piece in question.</w:t>
      </w:r>
    </w:p>
    <w:p w:rsidR="00E558A5" w:rsidRPr="00726B72" w:rsidRDefault="00FF308B" w:rsidP="00677FEB">
      <w:pPr>
        <w:spacing w:line="480" w:lineRule="auto"/>
        <w:ind w:firstLine="0"/>
        <w:jc w:val="both"/>
        <w:rPr>
          <w:rFonts w:ascii="Baskerville Old Face" w:hAnsi="Baskerville Old Face"/>
        </w:rPr>
      </w:pPr>
      <w:r w:rsidRPr="00726B72">
        <w:rPr>
          <w:rFonts w:ascii="Baskerville Old Face" w:hAnsi="Baskerville Old Face"/>
        </w:rPr>
        <w:tab/>
        <w:t xml:space="preserve">The question of what makes two art pieces similar (i.e. substitute goods) is therefore of enormous interest to </w:t>
      </w:r>
      <w:r w:rsidR="001029A1" w:rsidRPr="00726B72">
        <w:rPr>
          <w:rFonts w:ascii="Baskerville Old Face" w:hAnsi="Baskerville Old Face"/>
        </w:rPr>
        <w:t>those in the field</w:t>
      </w:r>
      <w:r w:rsidRPr="00726B72">
        <w:rPr>
          <w:rFonts w:ascii="Baskerville Old Face" w:hAnsi="Baskerville Old Face"/>
        </w:rPr>
        <w:t>. Before one can appraise a piece of art, one must identify past sale precedents, which requires understanding what makes art pieces similar. Only then is it possible to properly analyze anchoring and other biases that can drastically alter prices and sales</w:t>
      </w:r>
      <w:r w:rsidR="00751E73" w:rsidRPr="00726B72">
        <w:rPr>
          <w:rFonts w:ascii="Baskerville Old Face" w:hAnsi="Baskerville Old Face"/>
        </w:rPr>
        <w:t>.</w:t>
      </w:r>
      <w:r w:rsidRPr="00726B72">
        <w:rPr>
          <w:rFonts w:ascii="Baskerville Old Face" w:hAnsi="Baskerville Old Face"/>
        </w:rPr>
        <w:t xml:space="preserve"> </w:t>
      </w:r>
    </w:p>
    <w:sectPr w:rsidR="00E558A5" w:rsidRPr="00726B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130" w:rsidRDefault="00993130" w:rsidP="00FF308B">
      <w:pPr>
        <w:spacing w:line="240" w:lineRule="auto"/>
      </w:pPr>
      <w:r>
        <w:separator/>
      </w:r>
    </w:p>
  </w:endnote>
  <w:endnote w:type="continuationSeparator" w:id="0">
    <w:p w:rsidR="00993130" w:rsidRDefault="00993130" w:rsidP="00FF3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130" w:rsidRDefault="00993130" w:rsidP="00FF308B">
      <w:pPr>
        <w:spacing w:line="240" w:lineRule="auto"/>
      </w:pPr>
      <w:r>
        <w:separator/>
      </w:r>
    </w:p>
  </w:footnote>
  <w:footnote w:type="continuationSeparator" w:id="0">
    <w:p w:rsidR="00993130" w:rsidRDefault="00993130" w:rsidP="00FF308B">
      <w:pPr>
        <w:spacing w:line="240" w:lineRule="auto"/>
      </w:pPr>
      <w:r>
        <w:continuationSeparator/>
      </w:r>
    </w:p>
  </w:footnote>
  <w:footnote w:id="1">
    <w:p w:rsidR="00FF308B" w:rsidRDefault="00FF308B" w:rsidP="00FF308B">
      <w:pPr>
        <w:pStyle w:val="FootnoteText"/>
      </w:pPr>
      <w:r>
        <w:rPr>
          <w:rStyle w:val="FootnoteReference"/>
        </w:rPr>
        <w:footnoteRef/>
      </w:r>
      <w:r>
        <w:t xml:space="preserve"> </w:t>
      </w:r>
      <w:r w:rsidRPr="00042BB8">
        <w:t>http://www.bloomberg.com/news/articles/2015-06-21/auction-wars-christie-s-sotheby-s-and-the-art-of-competition</w:t>
      </w:r>
    </w:p>
  </w:footnote>
  <w:footnote w:id="2">
    <w:p w:rsidR="00FF308B" w:rsidRDefault="00FF308B" w:rsidP="00FF308B">
      <w:pPr>
        <w:pStyle w:val="FootnoteText"/>
      </w:pPr>
      <w:r>
        <w:rPr>
          <w:rStyle w:val="FootnoteReference"/>
        </w:rPr>
        <w:footnoteRef/>
      </w:r>
      <w:r>
        <w:t xml:space="preserve"> </w:t>
      </w:r>
      <w:r w:rsidRPr="00D57E0F">
        <w:t>http://www.bloombergview.com/articles/2014-12-03/how-sothebys-and-christies-went-wrong</w:t>
      </w:r>
    </w:p>
  </w:footnote>
  <w:footnote w:id="3">
    <w:p w:rsidR="00FF308B" w:rsidRDefault="00FF308B" w:rsidP="00FF308B">
      <w:pPr>
        <w:pStyle w:val="FootnoteText"/>
      </w:pPr>
      <w:r>
        <w:rPr>
          <w:rStyle w:val="FootnoteReference"/>
        </w:rPr>
        <w:footnoteRef/>
      </w:r>
      <w:r>
        <w:t xml:space="preserve"> </w:t>
      </w:r>
      <w:r w:rsidRPr="000A29FB">
        <w:t>http://www.wikinvest.com/stock/Sotheby's_Holdings_(BID)</w:t>
      </w:r>
    </w:p>
  </w:footnote>
  <w:footnote w:id="4">
    <w:p w:rsidR="00FF308B" w:rsidRDefault="00FF308B" w:rsidP="00FF308B">
      <w:pPr>
        <w:pStyle w:val="FootnoteText"/>
      </w:pPr>
      <w:r>
        <w:rPr>
          <w:rStyle w:val="FootnoteReference"/>
        </w:rPr>
        <w:footnoteRef/>
      </w:r>
      <w:r>
        <w:t xml:space="preserve"> </w:t>
      </w:r>
      <w:r w:rsidRPr="002C11EB">
        <w:t>http://www.nytimes.com/2015/08/17/arts/international/sothebys-and-christies-jostle-for-sales.html</w:t>
      </w:r>
    </w:p>
  </w:footnote>
  <w:footnote w:id="5">
    <w:p w:rsidR="00FF308B" w:rsidRDefault="00FF308B" w:rsidP="00FF308B">
      <w:pPr>
        <w:pStyle w:val="FootnoteText"/>
      </w:pPr>
      <w:r>
        <w:rPr>
          <w:rStyle w:val="FootnoteReference"/>
        </w:rPr>
        <w:footnoteRef/>
      </w:r>
      <w:r>
        <w:t xml:space="preserve"> </w:t>
      </w:r>
      <w:r w:rsidRPr="007C3A1E">
        <w:t>http://www.christies.com/auctions/first-open-september-2014/#specialist-picks-section</w:t>
      </w:r>
    </w:p>
  </w:footnote>
  <w:footnote w:id="6">
    <w:p w:rsidR="00FF308B" w:rsidRDefault="00FF308B" w:rsidP="00FF308B">
      <w:pPr>
        <w:pStyle w:val="FootnoteText"/>
      </w:pPr>
      <w:r>
        <w:rPr>
          <w:rStyle w:val="FootnoteReference"/>
        </w:rPr>
        <w:footnoteRef/>
      </w:r>
      <w:r>
        <w:t xml:space="preserve"> </w:t>
      </w:r>
      <w:r w:rsidRPr="00581E48">
        <w:t>http://www.sothebys.com/en/news-video/auction-essays/sothebys-digital-features/2015/01/online-bidding-regis.html</w:t>
      </w:r>
    </w:p>
  </w:footnote>
  <w:footnote w:id="7">
    <w:p w:rsidR="00FF308B" w:rsidRDefault="00FF308B" w:rsidP="00FF308B">
      <w:pPr>
        <w:pStyle w:val="FootnoteText"/>
      </w:pPr>
      <w:r>
        <w:rPr>
          <w:rStyle w:val="FootnoteReference"/>
        </w:rPr>
        <w:footnoteRef/>
      </w:r>
      <w:r>
        <w:t xml:space="preserve"> </w:t>
      </w:r>
      <w:r w:rsidRPr="002556DA">
        <w:t>http://www.forbes.com/2001/11/14/1114connguide.html</w:t>
      </w:r>
    </w:p>
  </w:footnote>
  <w:footnote w:id="8">
    <w:p w:rsidR="00FF308B" w:rsidRDefault="00FF308B" w:rsidP="00FF308B">
      <w:pPr>
        <w:pStyle w:val="FootnoteText"/>
      </w:pPr>
      <w:r>
        <w:rPr>
          <w:rStyle w:val="FootnoteReference"/>
        </w:rPr>
        <w:footnoteRef/>
      </w:r>
      <w:r>
        <w:t xml:space="preserve"> </w:t>
      </w:r>
      <w:r>
        <w:tab/>
      </w:r>
      <w:r w:rsidRPr="004F0921">
        <w:t>http://www.nytimes.com/2015/08/17/arts/international/sothebys-and-christies-jostle-for-sales.html</w:t>
      </w:r>
    </w:p>
  </w:footnote>
  <w:footnote w:id="9">
    <w:p w:rsidR="00FF308B" w:rsidRDefault="00FF308B" w:rsidP="00FF308B">
      <w:pPr>
        <w:pStyle w:val="FootnoteText"/>
      </w:pPr>
      <w:r>
        <w:rPr>
          <w:rStyle w:val="FootnoteReference"/>
        </w:rPr>
        <w:footnoteRef/>
      </w:r>
      <w:r>
        <w:t xml:space="preserve"> </w:t>
      </w:r>
      <w:r w:rsidRPr="001506F9">
        <w:t>http://www.bloomberg.com/news/articles/2015-06-21/auction-wars-christie-s-sotheby-s-and-the-art-of-competition</w:t>
      </w:r>
    </w:p>
  </w:footnote>
  <w:footnote w:id="10">
    <w:p w:rsidR="00FF308B" w:rsidRDefault="00FF308B" w:rsidP="00FF308B">
      <w:pPr>
        <w:pStyle w:val="FootnoteText"/>
      </w:pPr>
      <w:r>
        <w:rPr>
          <w:rStyle w:val="FootnoteReference"/>
        </w:rPr>
        <w:footnoteRef/>
      </w:r>
      <w:r>
        <w:t xml:space="preserve"> </w:t>
      </w:r>
      <w:r w:rsidRPr="00381C2A">
        <w:t>http://www.nytimes.com/2015/01/08/arts/design/sothebys-and-christies-return-to-guaranteeing-art-prices.html</w:t>
      </w:r>
    </w:p>
  </w:footnote>
  <w:footnote w:id="11">
    <w:p w:rsidR="00FF308B" w:rsidRDefault="00FF308B" w:rsidP="00FF308B">
      <w:pPr>
        <w:pStyle w:val="FootnoteText"/>
      </w:pPr>
      <w:r>
        <w:rPr>
          <w:rStyle w:val="FootnoteReference"/>
        </w:rPr>
        <w:footnoteRef/>
      </w:r>
      <w:r>
        <w:t xml:space="preserve"> </w:t>
      </w:r>
      <w:r w:rsidRPr="00E02B24">
        <w:t>http://www.artspace.com/magazine/news_events/the_heat_index/how_to_understand_new_york_record_auction_week-52310</w:t>
      </w:r>
    </w:p>
  </w:footnote>
  <w:footnote w:id="12">
    <w:p w:rsidR="00FF308B" w:rsidRDefault="00FF308B" w:rsidP="00FF308B">
      <w:pPr>
        <w:pStyle w:val="FootnoteText"/>
      </w:pPr>
      <w:r>
        <w:rPr>
          <w:rStyle w:val="FootnoteReference"/>
        </w:rPr>
        <w:footnoteRef/>
      </w:r>
      <w:r>
        <w:t xml:space="preserve"> </w:t>
      </w:r>
      <w:r w:rsidRPr="0045177C">
        <w:t>http://www.wsj.com/articles/SB969829620926708015</w:t>
      </w:r>
    </w:p>
  </w:footnote>
  <w:footnote w:id="13">
    <w:p w:rsidR="00FF308B" w:rsidRDefault="00FF308B" w:rsidP="00FF308B">
      <w:pPr>
        <w:pStyle w:val="FootnoteText"/>
      </w:pPr>
      <w:r>
        <w:rPr>
          <w:rStyle w:val="FootnoteReference"/>
        </w:rPr>
        <w:footnoteRef/>
      </w:r>
      <w:r>
        <w:t xml:space="preserve"> </w:t>
      </w:r>
      <w:r w:rsidRPr="00680FAA">
        <w:t>http://www.sothebys.com/en/news-video/videos/2014/10/how-to-sell-at-auction.html</w:t>
      </w:r>
    </w:p>
  </w:footnote>
  <w:footnote w:id="14">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5">
    <w:p w:rsidR="00FF308B" w:rsidRDefault="00FF308B" w:rsidP="00FF308B">
      <w:pPr>
        <w:pStyle w:val="FootnoteText"/>
      </w:pPr>
      <w:r>
        <w:rPr>
          <w:rStyle w:val="FootnoteReference"/>
        </w:rPr>
        <w:footnoteRef/>
      </w:r>
      <w:r>
        <w:t xml:space="preserve"> </w:t>
      </w:r>
      <w:r w:rsidRPr="00B77C19">
        <w:t>http://www.jstor.org/stable/pdf/40724283.pdf?_=1459015351227</w:t>
      </w:r>
    </w:p>
  </w:footnote>
  <w:footnote w:id="16">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Vincent, Daniel R. "Bidding off the wall: Why reserve prices may be kept secret."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Theory</w:t>
      </w:r>
      <w:r>
        <w:rPr>
          <w:rStyle w:val="apple-converted-space"/>
          <w:rFonts w:ascii="Arial" w:hAnsi="Arial" w:cs="Arial"/>
          <w:color w:val="222222"/>
          <w:shd w:val="clear" w:color="auto" w:fill="FFFFFF"/>
        </w:rPr>
        <w:t> </w:t>
      </w:r>
      <w:r>
        <w:rPr>
          <w:rFonts w:ascii="Arial" w:hAnsi="Arial" w:cs="Arial"/>
          <w:color w:val="222222"/>
          <w:shd w:val="clear" w:color="auto" w:fill="FFFFFF"/>
        </w:rPr>
        <w:t>65.2 (1995): 575-584.</w:t>
      </w:r>
    </w:p>
  </w:footnote>
  <w:footnote w:id="17">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Ashenfelter</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Orley</w:t>
      </w:r>
      <w:proofErr w:type="spellEnd"/>
      <w:r>
        <w:rPr>
          <w:rFonts w:ascii="Arial" w:hAnsi="Arial" w:cs="Arial"/>
          <w:color w:val="222222"/>
          <w:shd w:val="clear" w:color="auto" w:fill="FFFFFF"/>
        </w:rPr>
        <w:t>. "How auctions work for wine and art."</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Economic Perspectives</w:t>
      </w:r>
      <w:r>
        <w:rPr>
          <w:rStyle w:val="apple-converted-space"/>
          <w:rFonts w:ascii="Arial" w:hAnsi="Arial" w:cs="Arial"/>
          <w:color w:val="222222"/>
          <w:shd w:val="clear" w:color="auto" w:fill="FFFFFF"/>
        </w:rPr>
        <w:t> </w:t>
      </w:r>
      <w:r>
        <w:rPr>
          <w:rFonts w:ascii="Arial" w:hAnsi="Arial" w:cs="Arial"/>
          <w:color w:val="222222"/>
          <w:shd w:val="clear" w:color="auto" w:fill="FFFFFF"/>
        </w:rPr>
        <w:t>3.3 (1989): 23-36.</w:t>
      </w:r>
    </w:p>
  </w:footnote>
  <w:footnote w:id="18">
    <w:p w:rsidR="00FF308B" w:rsidRDefault="00FF308B" w:rsidP="00FF308B">
      <w:pPr>
        <w:pStyle w:val="FootnoteText"/>
      </w:pPr>
      <w:r>
        <w:rPr>
          <w:rStyle w:val="FootnoteReference"/>
        </w:rPr>
        <w:footnoteRef/>
      </w:r>
      <w:r>
        <w:t xml:space="preserve"> Typically, the auctioneer will call out prices that are approximately 10% higher than the current bid. </w:t>
      </w:r>
      <w:r w:rsidRPr="00D72959">
        <w:t>http://www.sothebys.com/en/Glossary.html</w:t>
      </w:r>
    </w:p>
  </w:footnote>
  <w:footnote w:id="19">
    <w:p w:rsidR="00FF308B" w:rsidRDefault="00FF308B" w:rsidP="00FF308B">
      <w:pPr>
        <w:pStyle w:val="FootnoteText"/>
      </w:pPr>
      <w:r>
        <w:rPr>
          <w:rStyle w:val="FootnoteReference"/>
        </w:rPr>
        <w:footnoteRef/>
      </w:r>
      <w:r>
        <w:t xml:space="preserve"> </w:t>
      </w:r>
      <w:r w:rsidR="0047517C">
        <w:t xml:space="preserve">Interview with Raphaelle Benabou, also </w:t>
      </w:r>
      <w:r w:rsidRPr="00334662">
        <w:t>http://www.ppge.ufrgs.br/giacomo/arquivos/econ-cultura/ashenfelter-graddy-2003.pdf</w:t>
      </w:r>
    </w:p>
  </w:footnote>
  <w:footnote w:id="20">
    <w:p w:rsidR="00FF308B" w:rsidRDefault="00FF308B" w:rsidP="00FF308B">
      <w:pPr>
        <w:pStyle w:val="FootnoteText"/>
      </w:pPr>
      <w:r>
        <w:rPr>
          <w:rStyle w:val="FootnoteReference"/>
        </w:rPr>
        <w:footnoteRef/>
      </w:r>
      <w:r>
        <w:t xml:space="preserve"> </w:t>
      </w:r>
      <w:r w:rsidRPr="001A7A1D">
        <w:t>http://www.christies.com/features/guides/selling-guide/selling-at-christies/after-the-sale/</w:t>
      </w:r>
    </w:p>
  </w:footnote>
  <w:footnote w:id="21">
    <w:p w:rsidR="00FF308B" w:rsidRDefault="00FF308B" w:rsidP="00FF308B">
      <w:pPr>
        <w:pStyle w:val="FootnoteText"/>
      </w:pPr>
      <w:r>
        <w:rPr>
          <w:rStyle w:val="FootnoteReference"/>
        </w:rPr>
        <w:footnoteRef/>
      </w:r>
      <w:r>
        <w:t xml:space="preserve"> </w:t>
      </w:r>
      <w:r w:rsidRPr="0015194B">
        <w:t>http://www.ppge.ufrgs.br/giacomo/arquivos/econ-cultura/ashenfelter-graddy-2003.pdf</w:t>
      </w:r>
    </w:p>
  </w:footnote>
  <w:footnote w:id="22">
    <w:p w:rsidR="00FF308B" w:rsidRDefault="00FF308B" w:rsidP="00FF308B">
      <w:pPr>
        <w:pStyle w:val="FootnoteText"/>
      </w:pPr>
      <w:r>
        <w:rPr>
          <w:rStyle w:val="FootnoteReference"/>
        </w:rPr>
        <w:footnoteRef/>
      </w:r>
      <w:r>
        <w:t xml:space="preserve"> </w:t>
      </w:r>
      <w:r w:rsidRPr="00632DD1">
        <w:t>http://www.ppge.ufrgs.br/giacomo/arquivos/econ-cultura/ashenfelter-graddy-2003.pdf</w:t>
      </w:r>
    </w:p>
  </w:footnote>
  <w:footnote w:id="23">
    <w:p w:rsidR="00FF308B" w:rsidRDefault="00FF308B" w:rsidP="00FF308B">
      <w:pPr>
        <w:pStyle w:val="FootnoteText"/>
      </w:pPr>
      <w:r>
        <w:rPr>
          <w:rStyle w:val="FootnoteReference"/>
        </w:rPr>
        <w:footnoteRef/>
      </w:r>
      <w:r>
        <w:t xml:space="preserve"> </w:t>
      </w:r>
      <w:r w:rsidRPr="004B7322">
        <w:t>http://video.cnbc.com/gallery/?video=3000504214</w:t>
      </w:r>
    </w:p>
  </w:footnote>
  <w:footnote w:id="24">
    <w:p w:rsidR="00FF308B" w:rsidRDefault="00FF308B" w:rsidP="00FF308B">
      <w:pPr>
        <w:pStyle w:val="FootnoteText"/>
      </w:pPr>
      <w:r>
        <w:rPr>
          <w:rStyle w:val="FootnoteReference"/>
        </w:rPr>
        <w:footnoteRef/>
      </w:r>
      <w:r>
        <w:t xml:space="preserve"> </w:t>
      </w:r>
      <w:proofErr w:type="spellStart"/>
      <w:r w:rsidRPr="00F10E15">
        <w:t>Tversky</w:t>
      </w:r>
      <w:proofErr w:type="spellEnd"/>
      <w:r w:rsidRPr="00F10E15">
        <w:t xml:space="preserve">, A.; </w:t>
      </w:r>
      <w:proofErr w:type="spellStart"/>
      <w:r w:rsidRPr="00F10E15">
        <w:t>Kahneman</w:t>
      </w:r>
      <w:proofErr w:type="spellEnd"/>
      <w:r w:rsidRPr="00F10E15">
        <w:t>, D. (1974). "Judgment under Uncertainty: Heuristics and Biases" (PDF). Science 185 (4157): 1124–1131. doi:10.1126/science.185.4157.1124. PMID 17835457.</w:t>
      </w:r>
    </w:p>
  </w:footnote>
  <w:footnote w:id="25">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26">
    <w:p w:rsidR="00FF308B" w:rsidRDefault="00FF308B" w:rsidP="00FF308B">
      <w:pPr>
        <w:pStyle w:val="FootnoteText"/>
      </w:pPr>
      <w:r>
        <w:rPr>
          <w:rStyle w:val="FootnoteReference"/>
        </w:rPr>
        <w:footnoteRef/>
      </w:r>
      <w:r>
        <w:t xml:space="preserve"> </w:t>
      </w:r>
      <w:r w:rsidRPr="000F29F0">
        <w:t>Edward Teach, "Avoiding Decision Traps", CFO (1 June 2004). Retrieved 29 May 2007.</w:t>
      </w:r>
    </w:p>
  </w:footnote>
  <w:footnote w:id="27">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28">
    <w:p w:rsidR="00FF308B" w:rsidRDefault="00FF308B" w:rsidP="00FF308B">
      <w:pPr>
        <w:pStyle w:val="FootnoteText"/>
      </w:pPr>
      <w:r>
        <w:rPr>
          <w:rStyle w:val="FootnoteReference"/>
        </w:rPr>
        <w:footnoteRef/>
      </w:r>
      <w:r>
        <w:t xml:space="preserve"> Observation from MB 00 about how even the same work can change over time?</w:t>
      </w:r>
    </w:p>
  </w:footnote>
  <w:footnote w:id="29">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Graddy</w:t>
      </w:r>
      <w:proofErr w:type="spellEnd"/>
      <w:r>
        <w:rPr>
          <w:rFonts w:ascii="Arial" w:hAnsi="Arial" w:cs="Arial"/>
          <w:color w:val="222222"/>
          <w:shd w:val="clear" w:color="auto" w:fill="FFFFFF"/>
        </w:rPr>
        <w:t>, Kathryn, et al. "Anchoring or loss aversion? Empirical evidence from art auctions." (2014).</w:t>
      </w:r>
    </w:p>
  </w:footnote>
  <w:footnote w:id="30">
    <w:p w:rsidR="00FF308B" w:rsidRDefault="00FF308B" w:rsidP="00FF308B">
      <w:pPr>
        <w:pStyle w:val="FootnoteText"/>
      </w:pPr>
      <w:r>
        <w:rPr>
          <w:rStyle w:val="FootnoteReference"/>
        </w:rPr>
        <w:footnoteRef/>
      </w:r>
      <w:r>
        <w:t xml:space="preserve"> </w:t>
      </w:r>
      <w:r>
        <w:rPr>
          <w:rFonts w:ascii="Arial" w:hAnsi="Arial" w:cs="Arial"/>
          <w:color w:val="222222"/>
          <w:shd w:val="clear" w:color="auto" w:fill="FFFFFF"/>
        </w:rPr>
        <w:t xml:space="preserve">De Silva, </w:t>
      </w:r>
      <w:proofErr w:type="spellStart"/>
      <w:r>
        <w:rPr>
          <w:rFonts w:ascii="Arial" w:hAnsi="Arial" w:cs="Arial"/>
          <w:color w:val="222222"/>
          <w:shd w:val="clear" w:color="auto" w:fill="FFFFFF"/>
        </w:rPr>
        <w:t>Dakshina</w:t>
      </w:r>
      <w:proofErr w:type="spellEnd"/>
      <w:r>
        <w:rPr>
          <w:rFonts w:ascii="Arial" w:hAnsi="Arial" w:cs="Arial"/>
          <w:color w:val="222222"/>
          <w:shd w:val="clear" w:color="auto" w:fill="FFFFFF"/>
        </w:rPr>
        <w:t xml:space="preserve"> G., Rachel AJ </w:t>
      </w:r>
      <w:proofErr w:type="spellStart"/>
      <w:r>
        <w:rPr>
          <w:rFonts w:ascii="Arial" w:hAnsi="Arial" w:cs="Arial"/>
          <w:color w:val="222222"/>
          <w:shd w:val="clear" w:color="auto" w:fill="FFFFFF"/>
        </w:rPr>
        <w:t>Pownall</w:t>
      </w:r>
      <w:proofErr w:type="spellEnd"/>
      <w:r>
        <w:rPr>
          <w:rFonts w:ascii="Arial" w:hAnsi="Arial" w:cs="Arial"/>
          <w:color w:val="222222"/>
          <w:shd w:val="clear" w:color="auto" w:fill="FFFFFF"/>
        </w:rPr>
        <w:t xml:space="preserve">, and Leonard </w:t>
      </w:r>
      <w:proofErr w:type="spellStart"/>
      <w:r>
        <w:rPr>
          <w:rFonts w:ascii="Arial" w:hAnsi="Arial" w:cs="Arial"/>
          <w:color w:val="222222"/>
          <w:shd w:val="clear" w:color="auto" w:fill="FFFFFF"/>
        </w:rPr>
        <w:t>Wolk</w:t>
      </w:r>
      <w:proofErr w:type="spellEnd"/>
      <w:r>
        <w:rPr>
          <w:rFonts w:ascii="Arial" w:hAnsi="Arial" w:cs="Arial"/>
          <w:color w:val="222222"/>
          <w:shd w:val="clear" w:color="auto" w:fill="FFFFFF"/>
        </w:rPr>
        <w:t>. "Does the sun ‘</w:t>
      </w:r>
      <w:proofErr w:type="spellStart"/>
      <w:r>
        <w:rPr>
          <w:rFonts w:ascii="Arial" w:hAnsi="Arial" w:cs="Arial"/>
          <w:color w:val="222222"/>
          <w:shd w:val="clear" w:color="auto" w:fill="FFFFFF"/>
        </w:rPr>
        <w:t>shine’on</w:t>
      </w:r>
      <w:proofErr w:type="spellEnd"/>
      <w:r>
        <w:rPr>
          <w:rFonts w:ascii="Arial" w:hAnsi="Arial" w:cs="Arial"/>
          <w:color w:val="222222"/>
          <w:shd w:val="clear" w:color="auto" w:fill="FFFFFF"/>
        </w:rPr>
        <w:t xml:space="preserve"> art prices</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Fonts w:ascii="Arial" w:hAnsi="Arial" w:cs="Arial"/>
          <w:color w:val="222222"/>
          <w:shd w:val="clear" w:color="auto" w:fill="FFFFFF"/>
        </w:rPr>
        <w:t>82.1 (2012): 167-178.</w:t>
      </w:r>
    </w:p>
  </w:footnote>
  <w:footnote w:id="31">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Northcraft</w:t>
      </w:r>
      <w:proofErr w:type="spellEnd"/>
      <w:r>
        <w:rPr>
          <w:rFonts w:ascii="Arial" w:hAnsi="Arial" w:cs="Arial"/>
          <w:color w:val="222222"/>
          <w:shd w:val="clear" w:color="auto" w:fill="FFFFFF"/>
        </w:rPr>
        <w:t>, Gregory B., and Margaret A. Neale. "Experts, amateurs, and real estate: An anchoring-and-adjustment perspective on property pricing decisions."</w:t>
      </w:r>
      <w:r>
        <w:rPr>
          <w:rStyle w:val="apple-converted-space"/>
          <w:rFonts w:ascii="Arial" w:hAnsi="Arial" w:cs="Arial"/>
          <w:color w:val="222222"/>
          <w:shd w:val="clear" w:color="auto" w:fill="FFFFFF"/>
        </w:rPr>
        <w:t> </w:t>
      </w:r>
      <w:r>
        <w:rPr>
          <w:rFonts w:ascii="Arial" w:hAnsi="Arial" w:cs="Arial"/>
          <w:i/>
          <w:iCs/>
          <w:color w:val="222222"/>
          <w:shd w:val="clear" w:color="auto" w:fill="FFFFFF"/>
        </w:rPr>
        <w:t>Organizational behavior and human decision processes</w:t>
      </w:r>
      <w:r>
        <w:rPr>
          <w:rStyle w:val="apple-converted-space"/>
          <w:rFonts w:ascii="Arial" w:hAnsi="Arial" w:cs="Arial"/>
          <w:color w:val="222222"/>
          <w:shd w:val="clear" w:color="auto" w:fill="FFFFFF"/>
        </w:rPr>
        <w:t> </w:t>
      </w:r>
      <w:r>
        <w:rPr>
          <w:rFonts w:ascii="Arial" w:hAnsi="Arial" w:cs="Arial"/>
          <w:color w:val="222222"/>
          <w:shd w:val="clear" w:color="auto" w:fill="FFFFFF"/>
        </w:rPr>
        <w:t>39.1 (1987): 84-97.</w:t>
      </w:r>
    </w:p>
  </w:footnote>
  <w:footnote w:id="32">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Sugden</w:t>
      </w:r>
      <w:proofErr w:type="spellEnd"/>
      <w:r>
        <w:rPr>
          <w:rFonts w:ascii="Arial" w:hAnsi="Arial" w:cs="Arial"/>
          <w:color w:val="222222"/>
          <w:shd w:val="clear" w:color="auto" w:fill="FFFFFF"/>
        </w:rPr>
        <w:t xml:space="preserve">, Robert, </w:t>
      </w:r>
      <w:proofErr w:type="spellStart"/>
      <w:r>
        <w:rPr>
          <w:rFonts w:ascii="Arial" w:hAnsi="Arial" w:cs="Arial"/>
          <w:color w:val="222222"/>
          <w:shd w:val="clear" w:color="auto" w:fill="FFFFFF"/>
        </w:rPr>
        <w:t>Jiwei</w:t>
      </w:r>
      <w:proofErr w:type="spellEnd"/>
      <w:r>
        <w:rPr>
          <w:rFonts w:ascii="Arial" w:hAnsi="Arial" w:cs="Arial"/>
          <w:color w:val="222222"/>
          <w:shd w:val="clear" w:color="auto" w:fill="FFFFFF"/>
        </w:rPr>
        <w:t xml:space="preserve"> Zheng, and Daniel John </w:t>
      </w:r>
      <w:proofErr w:type="spellStart"/>
      <w:r>
        <w:rPr>
          <w:rFonts w:ascii="Arial" w:hAnsi="Arial" w:cs="Arial"/>
          <w:color w:val="222222"/>
          <w:shd w:val="clear" w:color="auto" w:fill="FFFFFF"/>
        </w:rPr>
        <w:t>Zizzo</w:t>
      </w:r>
      <w:proofErr w:type="spellEnd"/>
      <w:r>
        <w:rPr>
          <w:rFonts w:ascii="Arial" w:hAnsi="Arial" w:cs="Arial"/>
          <w:color w:val="222222"/>
          <w:shd w:val="clear" w:color="auto" w:fill="FFFFFF"/>
        </w:rPr>
        <w:t>. "Not all anchors are created equal."</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Psychology</w:t>
      </w:r>
      <w:r>
        <w:rPr>
          <w:rStyle w:val="apple-converted-space"/>
          <w:rFonts w:ascii="Arial" w:hAnsi="Arial" w:cs="Arial"/>
          <w:color w:val="222222"/>
          <w:shd w:val="clear" w:color="auto" w:fill="FFFFFF"/>
        </w:rPr>
        <w:t> </w:t>
      </w:r>
      <w:r>
        <w:rPr>
          <w:rFonts w:ascii="Arial" w:hAnsi="Arial" w:cs="Arial"/>
          <w:color w:val="222222"/>
          <w:shd w:val="clear" w:color="auto" w:fill="FFFFFF"/>
        </w:rPr>
        <w:t>39 (2013): 21-31.</w:t>
      </w:r>
    </w:p>
  </w:footnote>
  <w:footnote w:id="33">
    <w:p w:rsidR="00FF308B" w:rsidRDefault="00FF308B" w:rsidP="00FF308B">
      <w:pPr>
        <w:pStyle w:val="FootnoteText"/>
      </w:pPr>
      <w:r>
        <w:rPr>
          <w:rStyle w:val="FootnoteReference"/>
        </w:rPr>
        <w:footnoteRef/>
      </w:r>
      <w:r>
        <w:t xml:space="preserve"> </w:t>
      </w:r>
      <w:proofErr w:type="spellStart"/>
      <w:r>
        <w:rPr>
          <w:rFonts w:ascii="Arial" w:hAnsi="Arial" w:cs="Arial"/>
          <w:color w:val="222222"/>
          <w:shd w:val="clear" w:color="auto" w:fill="FFFFFF"/>
        </w:rPr>
        <w:t>Alevy</w:t>
      </w:r>
      <w:proofErr w:type="spellEnd"/>
      <w:r>
        <w:rPr>
          <w:rFonts w:ascii="Arial" w:hAnsi="Arial" w:cs="Arial"/>
          <w:color w:val="222222"/>
          <w:shd w:val="clear" w:color="auto" w:fill="FFFFFF"/>
        </w:rPr>
        <w:t xml:space="preserve">, Jonathan E., John A. List, and </w:t>
      </w:r>
      <w:proofErr w:type="spellStart"/>
      <w:r>
        <w:rPr>
          <w:rFonts w:ascii="Arial" w:hAnsi="Arial" w:cs="Arial"/>
          <w:color w:val="222222"/>
          <w:shd w:val="clear" w:color="auto" w:fill="FFFFFF"/>
        </w:rPr>
        <w:t>Wiktor</w:t>
      </w:r>
      <w:proofErr w:type="spellEnd"/>
      <w:r>
        <w:rPr>
          <w:rFonts w:ascii="Arial" w:hAnsi="Arial" w:cs="Arial"/>
          <w:color w:val="222222"/>
          <w:shd w:val="clear" w:color="auto" w:fill="FFFFFF"/>
        </w:rPr>
        <w:t xml:space="preserve"> L. </w:t>
      </w:r>
      <w:proofErr w:type="spellStart"/>
      <w:r>
        <w:rPr>
          <w:rFonts w:ascii="Arial" w:hAnsi="Arial" w:cs="Arial"/>
          <w:color w:val="222222"/>
          <w:shd w:val="clear" w:color="auto" w:fill="FFFFFF"/>
        </w:rPr>
        <w:t>Adamowicz</w:t>
      </w:r>
      <w:proofErr w:type="spellEnd"/>
      <w:r>
        <w:rPr>
          <w:rFonts w:ascii="Arial" w:hAnsi="Arial" w:cs="Arial"/>
          <w:color w:val="222222"/>
          <w:shd w:val="clear" w:color="auto" w:fill="FFFFFF"/>
        </w:rPr>
        <w:t>. "How can behavioral economics inform nonmarket valuation? An example from the preference reversal literature."</w:t>
      </w:r>
      <w:r>
        <w:rPr>
          <w:rStyle w:val="apple-converted-space"/>
          <w:rFonts w:ascii="Arial" w:hAnsi="Arial" w:cs="Arial"/>
          <w:color w:val="222222"/>
          <w:shd w:val="clear" w:color="auto" w:fill="FFFFFF"/>
        </w:rPr>
        <w:t> </w:t>
      </w:r>
      <w:r>
        <w:rPr>
          <w:rFonts w:ascii="Arial" w:hAnsi="Arial" w:cs="Arial"/>
          <w:i/>
          <w:iCs/>
          <w:color w:val="222222"/>
          <w:shd w:val="clear" w:color="auto" w:fill="FFFFFF"/>
        </w:rPr>
        <w:t>Land Economics</w:t>
      </w:r>
      <w:r>
        <w:rPr>
          <w:rStyle w:val="apple-converted-space"/>
          <w:rFonts w:ascii="Arial" w:hAnsi="Arial" w:cs="Arial"/>
          <w:color w:val="222222"/>
          <w:shd w:val="clear" w:color="auto" w:fill="FFFFFF"/>
        </w:rPr>
        <w:t> </w:t>
      </w:r>
      <w:r>
        <w:rPr>
          <w:rFonts w:ascii="Arial" w:hAnsi="Arial" w:cs="Arial"/>
          <w:color w:val="222222"/>
          <w:shd w:val="clear" w:color="auto" w:fill="FFFFFF"/>
        </w:rPr>
        <w:t>87.3 (2011): 365-381.</w:t>
      </w:r>
    </w:p>
  </w:footnote>
  <w:footnote w:id="34">
    <w:p w:rsidR="00FF308B" w:rsidRDefault="00FF308B" w:rsidP="00FF308B">
      <w:pPr>
        <w:pStyle w:val="FootnoteText"/>
      </w:pPr>
      <w:r>
        <w:rPr>
          <w:rStyle w:val="FootnoteReference"/>
        </w:rPr>
        <w:footnoteRef/>
      </w:r>
      <w:r>
        <w:t xml:space="preserve"> </w:t>
      </w:r>
      <w:r w:rsidRPr="00FE24F1">
        <w:t>https://mikebrandlyauctioneer.wordpress.com/2015/04/13/value-anchoring-in-the-auction-business/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8B"/>
    <w:rsid w:val="00032E8E"/>
    <w:rsid w:val="00040A1A"/>
    <w:rsid w:val="00045499"/>
    <w:rsid w:val="000D0EB5"/>
    <w:rsid w:val="001029A1"/>
    <w:rsid w:val="00121D44"/>
    <w:rsid w:val="001470CF"/>
    <w:rsid w:val="00150855"/>
    <w:rsid w:val="00193005"/>
    <w:rsid w:val="001A2B81"/>
    <w:rsid w:val="001C63DB"/>
    <w:rsid w:val="00271A29"/>
    <w:rsid w:val="003129AF"/>
    <w:rsid w:val="003614D7"/>
    <w:rsid w:val="0045433B"/>
    <w:rsid w:val="0047517C"/>
    <w:rsid w:val="004B54C3"/>
    <w:rsid w:val="004D12BA"/>
    <w:rsid w:val="00501579"/>
    <w:rsid w:val="00504B36"/>
    <w:rsid w:val="0063366F"/>
    <w:rsid w:val="0067435C"/>
    <w:rsid w:val="00677FEB"/>
    <w:rsid w:val="0069745B"/>
    <w:rsid w:val="006E49A3"/>
    <w:rsid w:val="00706945"/>
    <w:rsid w:val="007264F7"/>
    <w:rsid w:val="00726B72"/>
    <w:rsid w:val="007466D3"/>
    <w:rsid w:val="00751E73"/>
    <w:rsid w:val="007D6BA2"/>
    <w:rsid w:val="00827DA2"/>
    <w:rsid w:val="00866E22"/>
    <w:rsid w:val="008E3FBB"/>
    <w:rsid w:val="00906170"/>
    <w:rsid w:val="009342BC"/>
    <w:rsid w:val="00967046"/>
    <w:rsid w:val="00993130"/>
    <w:rsid w:val="00997819"/>
    <w:rsid w:val="009D77FA"/>
    <w:rsid w:val="00A214A0"/>
    <w:rsid w:val="00A541C8"/>
    <w:rsid w:val="00AB5D0A"/>
    <w:rsid w:val="00AF7A1D"/>
    <w:rsid w:val="00B6171F"/>
    <w:rsid w:val="00B9224C"/>
    <w:rsid w:val="00BC4995"/>
    <w:rsid w:val="00C020B6"/>
    <w:rsid w:val="00C30E18"/>
    <w:rsid w:val="00C87A11"/>
    <w:rsid w:val="00DA6E23"/>
    <w:rsid w:val="00E5559B"/>
    <w:rsid w:val="00E558A5"/>
    <w:rsid w:val="00E86589"/>
    <w:rsid w:val="00EB1395"/>
    <w:rsid w:val="00EF2962"/>
    <w:rsid w:val="00FE1512"/>
    <w:rsid w:val="00FF308B"/>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4EABF-D43B-4351-B723-ED09EB7B6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F308B"/>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FF308B"/>
    <w:rPr>
      <w:rFonts w:ascii="Times New Roman" w:hAnsi="Times New Roman"/>
      <w:sz w:val="20"/>
      <w:szCs w:val="20"/>
    </w:rPr>
  </w:style>
  <w:style w:type="character" w:styleId="FootnoteReference">
    <w:name w:val="footnote reference"/>
    <w:basedOn w:val="DefaultParagraphFont"/>
    <w:uiPriority w:val="99"/>
    <w:semiHidden/>
    <w:unhideWhenUsed/>
    <w:rsid w:val="00FF308B"/>
    <w:rPr>
      <w:vertAlign w:val="superscript"/>
    </w:rPr>
  </w:style>
  <w:style w:type="character" w:customStyle="1" w:styleId="apple-converted-space">
    <w:name w:val="apple-converted-space"/>
    <w:basedOn w:val="DefaultParagraphFont"/>
    <w:rsid w:val="00FF3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1866</Words>
  <Characters>10638</Characters>
  <Application>Microsoft Office Word</Application>
  <DocSecurity>0</DocSecurity>
  <Lines>88</Lines>
  <Paragraphs>24</Paragraphs>
  <ScaleCrop>false</ScaleCrop>
  <Company/>
  <LinksUpToDate>false</LinksUpToDate>
  <CharactersWithSpaces>12480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85</cp:revision>
  <dcterms:created xsi:type="dcterms:W3CDTF">2016-04-08T20:12:00Z</dcterms:created>
  <dcterms:modified xsi:type="dcterms:W3CDTF">2016-04-11T20:05:00Z</dcterms:modified>
</cp:coreProperties>
</file>