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PRICE, ANCHORING, AND SUBSTITUTION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IN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THE MARKET FOR FINE ART AUCTIONS</w:t>
      </w: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</w:pPr>
      <w:r>
        <w:t>Evan Chow</w:t>
      </w:r>
    </w:p>
    <w:p w:rsidR="00742CA2" w:rsidRDefault="00742CA2" w:rsidP="00742CA2">
      <w:pPr>
        <w:spacing w:line="240" w:lineRule="auto"/>
        <w:ind w:firstLine="0"/>
        <w:jc w:val="center"/>
      </w:pPr>
      <w:r>
        <w:t>Princeton University</w:t>
      </w:r>
    </w:p>
    <w:p w:rsidR="00742CA2" w:rsidRDefault="00742CA2" w:rsidP="00742CA2">
      <w:pPr>
        <w:spacing w:line="240" w:lineRule="auto"/>
        <w:ind w:firstLine="0"/>
        <w:jc w:val="center"/>
      </w:pPr>
      <w:r>
        <w:t>Department of Economics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</w:pPr>
      <w:r>
        <w:t>April 5, 2016</w:t>
      </w:r>
    </w:p>
    <w:p w:rsidR="00742CA2" w:rsidRDefault="00742CA2" w:rsidP="00742CA2">
      <w:pPr>
        <w:spacing w:line="240" w:lineRule="auto"/>
        <w:ind w:firstLine="0"/>
        <w:jc w:val="center"/>
      </w:pPr>
      <w:r>
        <w:t>Senior Thesis Draft #2</w:t>
      </w:r>
    </w:p>
    <w:p w:rsidR="00742CA2" w:rsidRDefault="00742CA2" w:rsidP="00742CA2">
      <w:pPr>
        <w:spacing w:line="240" w:lineRule="auto"/>
        <w:ind w:firstLine="0"/>
        <w:jc w:val="center"/>
      </w:pPr>
      <w:r>
        <w:t>Due: April 13, 2016 before 4:00 PM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742CA2" w:rsidRDefault="00742CA2" w:rsidP="00742CA2">
      <w:pPr>
        <w:spacing w:line="480" w:lineRule="auto"/>
        <w:rPr>
          <w:b/>
        </w:rPr>
      </w:pPr>
    </w:p>
    <w:p w:rsidR="00742CA2" w:rsidRDefault="00742CA2" w:rsidP="00742CA2">
      <w:pPr>
        <w:spacing w:line="480" w:lineRule="auto"/>
        <w:ind w:firstLine="0"/>
        <w:jc w:val="center"/>
        <w:rPr>
          <w:b/>
        </w:rPr>
      </w:pPr>
      <w:r>
        <w:rPr>
          <w:b/>
        </w:rPr>
        <w:t>TABLE OF CONTENTS</w:t>
      </w:r>
    </w:p>
    <w:p w:rsidR="00742CA2" w:rsidRPr="00E6023F" w:rsidRDefault="00742CA2" w:rsidP="00742CA2">
      <w:pPr>
        <w:spacing w:line="480" w:lineRule="auto"/>
        <w:ind w:firstLine="0"/>
        <w:jc w:val="center"/>
        <w:rPr>
          <w:b/>
        </w:rPr>
      </w:pP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ABSTRACT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ACKNOWLEDGEMENTS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INTRODUCTION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OVERVIEW OF ART AUCTIONS AND ANCHORING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LITERATURE REVIEW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METHODOLOGY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DATA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RESULTS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FUTURE DIRECTIONS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CONCLUSION</w:t>
      </w:r>
    </w:p>
    <w:p w:rsidR="00742CA2" w:rsidRDefault="00742CA2" w:rsidP="00742CA2">
      <w:pPr>
        <w:spacing w:line="480" w:lineRule="auto"/>
      </w:pPr>
      <w:r>
        <w:br w:type="page"/>
      </w:r>
    </w:p>
    <w:p w:rsidR="00742CA2" w:rsidRDefault="00742CA2" w:rsidP="00742CA2">
      <w:pPr>
        <w:spacing w:line="480" w:lineRule="auto"/>
        <w:jc w:val="center"/>
      </w:pPr>
      <w:r w:rsidRPr="00521521">
        <w:rPr>
          <w:b/>
          <w:sz w:val="32"/>
        </w:rPr>
        <w:lastRenderedPageBreak/>
        <w:t>ABSTRACT</w:t>
      </w:r>
    </w:p>
    <w:p w:rsidR="00742CA2" w:rsidRDefault="00742CA2" w:rsidP="00742CA2">
      <w:pPr>
        <w:spacing w:line="480" w:lineRule="auto"/>
        <w:ind w:firstLine="0"/>
        <w:jc w:val="both"/>
      </w:pPr>
      <w:r>
        <w:t xml:space="preserve">Given Joan Miro and Salvador Dali were both Surrealist painters, can the past price of a Miro painting bias the current price of a Dali piece? We examine the existence and behavior of these “anchoring” cross-effects between prices of related art pieces sold at auction. My research generalizes the anchoring model of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 (2009) in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E558A5" w:rsidRDefault="00E558A5"/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7DD"/>
    <w:multiLevelType w:val="hybridMultilevel"/>
    <w:tmpl w:val="F99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A2"/>
    <w:rsid w:val="004D2EF8"/>
    <w:rsid w:val="00742CA2"/>
    <w:rsid w:val="00906170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12FE-5285-4AEA-A298-0DACBC09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2</cp:revision>
  <dcterms:created xsi:type="dcterms:W3CDTF">2016-04-08T20:16:00Z</dcterms:created>
  <dcterms:modified xsi:type="dcterms:W3CDTF">2016-04-09T03:09:00Z</dcterms:modified>
</cp:coreProperties>
</file>