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boba.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Sushirrito</w:t>
      </w:r>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Tzou,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Woramanot (Earning) Yomjinda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and I’</w:t>
      </w:r>
      <w:r w:rsidR="001531B9">
        <w:rPr>
          <w:rFonts w:ascii="Baskerville Old Face" w:hAnsi="Baskerville Old Face"/>
        </w:rPr>
        <w:t>ve been blessed 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Using a regression model that carefully separates out anchoring, Beggs &amp; Graddy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Beggs &amp; Graddy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Beggs &amp; Graddy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Edvard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r w:rsidR="004E1EC2">
        <w:rPr>
          <w:rFonts w:ascii="Baskerville Old Face" w:hAnsi="Baskerville Old Face"/>
        </w:rPr>
        <w:t>Blouin Art Sales Index)</w:t>
      </w:r>
      <w:r w:rsidRPr="005B52E1">
        <w:rPr>
          <w:rFonts w:ascii="Baskerville Old Face" w:hAnsi="Baskerville Old Face"/>
        </w:rPr>
        <w:t>.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McAlvanah &amp; Moul 2013)</w:t>
      </w:r>
      <w:r w:rsidRPr="005B52E1">
        <w:rPr>
          <w:rFonts w:ascii="Baskerville Old Face" w:hAnsi="Baskerville Old Face"/>
        </w:rPr>
        <w:t xml:space="preserve">. Our approach is more general than </w:t>
      </w:r>
      <w:r w:rsidR="00C85DD6">
        <w:rPr>
          <w:rFonts w:ascii="Baskerville Old Face" w:hAnsi="Baskerville Old Face"/>
        </w:rPr>
        <w:t>Beggs &amp; Graddy’s</w:t>
      </w:r>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Beggs &amp; Graddy (2009), our expanded regression models, and our measures of substitution. Section IV describes the original data of Beggs &amp; Graddy, as well as our new dataset, and explains the motivation behind constructing the latter. Section V gives our results. This includes our replication of the anchoring work of Beggs &amp; Graddy,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Baker &amp; Kazakina</w:t>
      </w:r>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(Reyburn 2015)</w:t>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(Rohleder 2001)</w:t>
      </w:r>
      <w:r w:rsidRPr="009C323E">
        <w:rPr>
          <w:rFonts w:ascii="Baskerville Old Face" w:hAnsi="Baskerville Old Face"/>
        </w:rPr>
        <w:t>. For classic automobiles, go to Sotheby’s or Bonham’s</w:t>
      </w:r>
      <w:r w:rsidR="00AD1892">
        <w:rPr>
          <w:rFonts w:ascii="Baskerville Old Face" w:hAnsi="Baskerville Old Face"/>
        </w:rPr>
        <w:t xml:space="preserve"> (Reyburn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Kazakina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r w:rsidR="000B31A7">
        <w:rPr>
          <w:rFonts w:ascii="Baskerville Old Face" w:hAnsi="Baskerville Old Face"/>
        </w:rPr>
        <w:t>n.d.)</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 Some cross-house differences may exist: Bauwens and Ginsburgh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Ashen</w:t>
      </w:r>
      <w:r w:rsidR="00BB4113">
        <w:rPr>
          <w:rFonts w:ascii="Baskerville Old Face" w:hAnsi="Baskerville Old Face"/>
        </w:rPr>
        <w:t>felter, Graddy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(Ashenfelter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(Ashenfelter &amp; Graddy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n.d.; Ashenfelter &amp; Graddy 2003)</w:t>
      </w:r>
      <w:r w:rsidRPr="009C323E">
        <w:rPr>
          <w:rFonts w:ascii="Baskerville Old Face" w:hAnsi="Baskerville Old Face"/>
        </w:rPr>
        <w:t>.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Ashenfelter &amp; Graddy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(Gleadell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(Tversky &amp; Kahneman 1974; Sugden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Beggs &amp; Graddy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(Graddy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(Northcraft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(Sugden et al. 2013; Alevy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r w:rsidR="00E033D0">
        <w:rPr>
          <w:rFonts w:ascii="Baskerville Old Face" w:hAnsi="Baskerville Old Face"/>
        </w:rPr>
        <w:t xml:space="preserve">Brandly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Furnham &amp; Boo (2011).</w:t>
      </w:r>
      <w:r w:rsidRPr="005B52E1">
        <w:rPr>
          <w:rFonts w:ascii="Baskerville Old Face" w:hAnsi="Baskerville Old Face"/>
        </w:rPr>
        <w:t xml:space="preserve"> The seminal work on anchoring was first authored by Tversky &amp; Kahneman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Then, the participants were asked to estimate the percentage of African countries in the United Nations. Tversky &amp; Kahneman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(Strack &amp; Mussweiler)</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(Rajendran &amp; Tellis 1994; Greenleaf 1995; Bokhari &amp; Geltner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(Frykblom &amp; Shogren </w:t>
      </w:r>
      <w:r w:rsidR="005A4B4F">
        <w:rPr>
          <w:rFonts w:ascii="Baskerville Old Face" w:hAnsi="Baskerville Old Face"/>
        </w:rPr>
        <w:lastRenderedPageBreak/>
        <w:t>2000; Winter 2002; Flachaire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Uecker 1982; Bucchianeri &amp; Minson 2013; Mussweiler 2001; Green et al. 1998</w:t>
      </w:r>
      <w:r w:rsidR="003A42C8">
        <w:rPr>
          <w:rFonts w:ascii="Baskerville Old Face" w:hAnsi="Baskerville Old Face"/>
        </w:rPr>
        <w:t>; Nianhang &amp; Shinong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(Lucking-Reiley et al. 2007; Ku et al. 2006)</w:t>
      </w:r>
      <w:r w:rsidRPr="005B52E1">
        <w:rPr>
          <w:rFonts w:ascii="Baskerville Old Face" w:hAnsi="Baskerville Old Face"/>
        </w:rPr>
        <w:t>. For example, one bizarre experiment was conducted by Ariely</w:t>
      </w:r>
      <w:r w:rsidR="005A4B4F">
        <w:rPr>
          <w:rFonts w:ascii="Baskerville Old Face" w:hAnsi="Baskerville Old Face"/>
        </w:rPr>
        <w:t xml:space="preserve"> &amp; Prelec</w:t>
      </w:r>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Wolk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Beggs &amp; Graddy (2005) is the first to examine anchoring effects (i.e. “reference dependence”) in the art auction market. This paper is described as a working paper for Beggs &amp; Graddy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690171">
        <w:rPr>
          <w:rFonts w:ascii="Baskerville Old Face" w:hAnsi="Baskerville Old Face"/>
        </w:rPr>
        <w:t>5</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Beggs &amp; Graddy (2005) detects anchoring by first controlling for hedonic value and non-hedonic biases on price, then testing for the impact of past price on current price. This model is formalized in Beggs &amp; Graddy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The anchoring models developed by Beggs &amp; Graddy (2009) have been used in later anchoring research such as Leung et. al (2013), and forms the basis of our own approach. We attempt to replicate selected results from Beggs &amp; Graddy (2009) in a later section. Beggs &amp; Graddy believe anchoring effects on the sale price may primarily be attributed to the buyers, since buyers primarily determine price, but beyond that treat anchoring as a black box. Graddy et al. (2014) use more data and mostly corroborate the 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Nocera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r w:rsidR="00DC7F74" w:rsidRPr="00DC7F74">
        <w:rPr>
          <w:rFonts w:ascii="Baskerville Old Face" w:hAnsi="Baskerville Old Face"/>
        </w:rPr>
        <w:t xml:space="preserve">Cerdá </w:t>
      </w:r>
      <w:r w:rsidRPr="005B52E1">
        <w:rPr>
          <w:rFonts w:ascii="Baskerville Old Face" w:hAnsi="Baskerville Old Face"/>
        </w:rPr>
        <w:t>(2012) analyze art auctions and seller reputations on eBay, and discover that negative feedback significantly lowers sale price and the probability of sale. Penasse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(Graddy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009643FC">
        <w:rPr>
          <w:rFonts w:ascii="Baskerville Old Face" w:hAnsi="Baskerville Old Face"/>
        </w:rPr>
        <w:t xml:space="preserve"> (Beggs &amp; Graddy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9643FC" w:rsidRDefault="003A55CE" w:rsidP="009643FC">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We introduce this formally in the next section.</w:t>
      </w:r>
    </w:p>
    <w:p w:rsidR="008D44F3" w:rsidRDefault="008D44F3">
      <w:pPr>
        <w:rPr>
          <w:rFonts w:ascii="Baskerville Old Face" w:hAnsi="Baskerville Old Face"/>
        </w:rPr>
      </w:pPr>
      <w:r>
        <w:rPr>
          <w:rFonts w:ascii="Baskerville Old Face" w:hAnsi="Baskerville Old Face"/>
        </w:rPr>
        <w:br w:type="page"/>
      </w:r>
    </w:p>
    <w:p w:rsidR="00D105E8" w:rsidRPr="009643FC" w:rsidRDefault="00943849" w:rsidP="00D36921">
      <w:pPr>
        <w:spacing w:line="480" w:lineRule="auto"/>
        <w:ind w:firstLine="0"/>
        <w:jc w:val="both"/>
        <w:rPr>
          <w:rFonts w:ascii="Baskerville Old Face" w:hAnsi="Baskerville Old Face"/>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Beggs &amp; Graddy 1997; Ashenfelter &amp; Graddy 2003; Beggs &amp; Graddy 2009)</w:t>
      </w:r>
      <w:r w:rsidRPr="005B52E1">
        <w:rPr>
          <w:rFonts w:ascii="Baskerville Old Face" w:hAnsi="Baskerville Old Face"/>
        </w:rPr>
        <w:t>. Both of those datasets are available on the Brandeis academic website of Kathryn Graddy</w:t>
      </w:r>
      <w:r w:rsidR="00312552">
        <w:rPr>
          <w:rFonts w:ascii="Baskerville Old Face" w:hAnsi="Baskerville Old Face"/>
        </w:rPr>
        <w:t>.</w:t>
      </w:r>
      <w:r w:rsidRPr="005B52E1">
        <w:rPr>
          <w:rStyle w:val="FootnoteReference"/>
          <w:rFonts w:ascii="Baskerville Old Face" w:hAnsi="Baskerville Old Face"/>
        </w:rPr>
        <w:footnoteReference w:id="11"/>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r w:rsidRPr="005B52E1">
        <w:rPr>
          <w:rFonts w:ascii="Baskerville Old Face" w:hAnsi="Baskerville Old Face"/>
        </w:rPr>
        <w:t>Orley Ashenfelter</w:t>
      </w:r>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lastRenderedPageBreak/>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(Beggs &amp; Graddy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 xml:space="preserve">Roughly 22.5% of </w:t>
      </w:r>
      <w:r w:rsidR="00FD26FB">
        <w:rPr>
          <w:rFonts w:ascii="Baskerville Old Face" w:hAnsi="Baskerville Old Face"/>
        </w:rPr>
        <w:lastRenderedPageBreak/>
        <w:t xml:space="preserve">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(Blouin Art Sales Index). </w:t>
      </w:r>
      <w:r w:rsidR="00B22BEA">
        <w:rPr>
          <w:rFonts w:ascii="Baskerville Old Face" w:hAnsi="Baskerville Old Face"/>
        </w:rPr>
        <w:t xml:space="preserve">The Blouin Art Sales Index was suggested to us by Bobray Bordelon, a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p-val: &lt;2E-16), as they become better-known in auction circles through h</w:t>
      </w:r>
      <w:r w:rsidR="001A0792">
        <w:rPr>
          <w:rFonts w:ascii="Baskerville Old Face" w:hAnsi="Baskerville Old Face"/>
        </w:rPr>
        <w:t>igher representation (Figures 9</w:t>
      </w:r>
      <w:r w:rsidR="004A0800">
        <w:rPr>
          <w:rFonts w:ascii="Baskerville Old Face" w:hAnsi="Baskerville Old Face"/>
        </w:rPr>
        <w:t xml:space="preserve"> through </w:t>
      </w:r>
      <w:r w:rsidRPr="005B52E1">
        <w:rPr>
          <w:rFonts w:ascii="Baskerville Old Face" w:hAnsi="Baskerville Old Face"/>
        </w:rPr>
        <w:t xml:space="preserve">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Costanigro et al. 2007</w:t>
      </w:r>
      <w:r w:rsidR="00341500">
        <w:rPr>
          <w:rFonts w:ascii="Baskerville Old Face" w:hAnsi="Baskerville Old Face"/>
        </w:rPr>
        <w:t>)</w:t>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For my replication work on the Impressionist and Contemporary datasets, I 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same manner as Beggs &amp; Graddy, I use the natural log of prices and hedonic price predictions, which allows us to interpret the regression results as relative effects (percent changes). For unsold items, we proxy value with 80% of the low estimate as they do</w:t>
      </w:r>
      <w:r w:rsidR="00DB56A1">
        <w:rPr>
          <w:rFonts w:ascii="Baskerville Old Face" w:hAnsi="Baskerville Old Face"/>
        </w:rPr>
        <w:t xml:space="preserve"> (see Section 5)</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Beggs &amp; Graddy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r w:rsidR="00341500">
        <w:rPr>
          <w:rFonts w:ascii="Baskerville Old Face" w:eastAsiaTheme="minorEastAsia" w:hAnsi="Baskerville Old Face"/>
        </w:rPr>
        <w:t>the original anchoring findings of Beggs &amp; Graddy</w:t>
      </w:r>
      <w:r w:rsidRPr="005B52E1">
        <w:rPr>
          <w:rFonts w:ascii="Baskerville Old Face" w:eastAsiaTheme="minorEastAsia" w:hAnsi="Baskerville Old Face"/>
        </w:rPr>
        <w:t xml:space="preserve"> (2009)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Beggs &amp; Graddy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Beggs &amp; Graddy.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6.2-8.5%), while for Contemporary art the same 10% increase only corresponds to a 1.3% predicted increase in current sale price (Beggs &amp; Graddy: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w:t>
      </w:r>
      <w:r w:rsidRPr="005B52E1">
        <w:rPr>
          <w:rFonts w:ascii="Baskerville Old Face" w:eastAsiaTheme="minorEastAsia" w:hAnsi="Baskerville Old Face"/>
        </w:rPr>
        <w:lastRenderedPageBreak/>
        <w:t>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(Bittar n.d.; Beggs &amp; Graddy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w:t>
      </w:r>
      <w:r w:rsidRPr="00AC707B">
        <w:rPr>
          <w:rFonts w:ascii="Baskerville Old Face" w:eastAsiaTheme="minorEastAsia" w:hAnsi="Baskerville Old Face"/>
          <w:color w:val="FF0000"/>
        </w:rPr>
        <w:t xml:space="preserve">  &lt; need to work hard on this section. Maybe go into data, .Rdata,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Beggs &amp; Graddy (2009), which suggest that prices can climb up dramatically over long stretches of time. Here, for assorted art, a 100 month (8.3 year) time interval between sales only corresponds to an 8% </w:t>
      </w:r>
      <w:r w:rsidRPr="005B52E1">
        <w:rPr>
          <w:rFonts w:ascii="Baskerville Old Face" w:eastAsiaTheme="minorEastAsia" w:hAnsi="Baskerville Old Face"/>
        </w:rPr>
        <w:lastRenderedPageBreak/>
        <w:t>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Edvard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n.d.)</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n.d.)</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r w:rsidR="003A42C8">
        <w:rPr>
          <w:rFonts w:ascii="Baskerville Old Face" w:eastAsiaTheme="minorEastAsia" w:hAnsi="Baskerville Old Face"/>
        </w:rPr>
        <w:lastRenderedPageBreak/>
        <w:t>(Galerie Michael n.d.)</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n.d.)</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Brandstatter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w:t>
      </w:r>
      <w:r w:rsidRPr="005B52E1">
        <w:rPr>
          <w:rFonts w:ascii="Baskerville Old Face" w:eastAsiaTheme="minorEastAsia" w:hAnsi="Baskerville Old Face"/>
        </w:rPr>
        <w:lastRenderedPageBreak/>
        <w:t>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(“Edvard Munch Biography” n.d.)</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n.d.)</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Nevertheless, both artists pull in hefty sums: Toulouse-Lautrec’s work “Au Lit: Le Baiser”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In this research, we set out to examine the existence of these anchoring cross-effects, building upon the original anchoring work of Beggs &amp; Graddy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Our model, which generalizes the original model of Beggs &amp; Graddy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w:t>
      </w:r>
      <w:r w:rsidRPr="005B52E1">
        <w:rPr>
          <w:rFonts w:ascii="Baskerville Old Face" w:hAnsi="Baskerville Old Face"/>
        </w:rPr>
        <w:lastRenderedPageBreak/>
        <w:t xml:space="preserve">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Alevy, J. E., List, J. A., &amp; Adamowicz,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Ariely, D., Loewenstein, G., &amp; Prelec,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&amp; Graddy,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Graddy,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Kazakina, K. (21, June 2015). Auction Wars: Christie's, Sotheby's, and The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Bauwens, L., &amp; Ginsburgh, V. (2000). Art experts and auctions: Are pre-sale estimates unbiased and fully informative?.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Recherches Economiques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Bergman, O., Ellingsen, T., Johannesson, M., &amp; Svensson,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Bershidsky,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Bittar, P. (n.d.). Why invest in a Bittar?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Blouin Art Sales Index. (n.d.).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Bokhari, S., &amp; Geltner,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Brandly,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Brandstatter,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Bruno, B., &amp; Nocera,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Bucchianeri, G. W., &amp; Minson,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Canals-Cerdá,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Christie's Lotfinder. (n.d.).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Costanigro, M., McCluskey, J. J., &amp; Mittelhammer,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Cupchik, G. C., Winston, A. S., &amp; Herz,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(n.d.).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Parsons, C. A., &amp; Van Wesep,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Edvard Munch Biography, Art, and Analysis of Works. (n.d.).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Flachaire,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Frykblom, P., &amp; Shogren,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Furnham, A., &amp; Boo, H. C. (2011). A literature review of the anchoring effect.</w:t>
      </w:r>
      <w:r w:rsidRPr="00481F89">
        <w:rPr>
          <w:rFonts w:ascii="Baskerville Old Face" w:hAnsi="Baskerville Old Face" w:cs="Arial"/>
          <w:i/>
          <w:iCs/>
          <w:shd w:val="clear" w:color="auto" w:fill="FFFFFF"/>
        </w:rPr>
        <w:t>The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Galerie Michael. (n.d.).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Gleadell,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Graddy, K., Loewenstein, L. P., Mei, J., Moses, M., &amp; Pownall,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 D., Jacowitz, K. E., Kahneman,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(n.d.).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Hong, H., Kremer, I., Kubik,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How to Sell at a Sotheby’s Auction. (n.d.).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Kinney Jr, W. R., &amp; Uecker,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Ku, G., Galinsky, A. D., &amp; Murnighan,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r w:rsidRPr="00481F89">
        <w:rPr>
          <w:rFonts w:ascii="Baskerville Old Face" w:hAnsi="Baskerville Old Face" w:cs="Arial"/>
          <w:shd w:val="clear" w:color="auto" w:fill="FFFFFF"/>
        </w:rPr>
        <w:t>Reiley, D., Bryan, D., Prasad, N., &amp; Reeves, D. (2007). Pennies from ebay: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(n.d.).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McAlvanah, P., &amp; Moul,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Metropolitan Museum opens exhibition of Edvard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Mussweiler, T. (2001). Sentencing Under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Nianhang, X., &amp; Shinong,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Northcraft, G. B., &amp; Neale, M. A. (1987). Experts, amateurs, and real estate: An anchoring-and-adjustment perspective on property pricing decisions.</w:t>
      </w:r>
      <w:r w:rsidRPr="00481F89">
        <w:rPr>
          <w:rFonts w:ascii="Baskerville Old Face" w:hAnsi="Baskerville Old Face" w:cs="Arial"/>
          <w:i/>
          <w:iCs/>
          <w:shd w:val="clear" w:color="auto" w:fill="FFFFFF"/>
        </w:rPr>
        <w:t>Organizational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(n.d.).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Pénasse, J., Renneboog, L., &amp; Spaenjers,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Rajendran, K. N., &amp; Tellis,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Reyburn,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Rohleder,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(n.d.).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(n.d.).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(n.d.).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Strack, F., &amp; Mussweiler,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Sugden, R., Zheng, J., &amp; Zizzo,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Tversky, A., &amp; Kahneman, D. (1974). Judgment under uncertainty: Heuristics and biases.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Wolk,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2F4273">
      <w:pPr>
        <w:spacing w:line="480" w:lineRule="auto"/>
        <w:ind w:firstLine="0"/>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2F4273">
      <w:pPr>
        <w:spacing w:line="240" w:lineRule="auto"/>
        <w:ind w:firstLine="0"/>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bookmarkStart w:id="0" w:name="_GoBack"/>
      <w:bookmarkEnd w:id="0"/>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82500000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CE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DB56A1" w:rsidTr="00CE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CE4F87">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3078</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10248</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30681</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3491100</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CE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4316</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13342</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43613</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40545</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5042700</w:t>
            </w:r>
          </w:p>
        </w:tc>
        <w:tc>
          <w:tcPr>
            <w:tcW w:w="1169" w:type="dxa"/>
            <w:vAlign w:val="center"/>
          </w:tcPr>
          <w:p w:rsidR="00DB56A1" w:rsidRDefault="005F083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CE4F87">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3024</w:t>
            </w:r>
          </w:p>
        </w:tc>
        <w:tc>
          <w:tcPr>
            <w:tcW w:w="1169" w:type="dxa"/>
            <w:vAlign w:val="center"/>
          </w:tcPr>
          <w:p w:rsidR="00DB56A1" w:rsidRDefault="005F083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11055</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35179</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34030</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3297150</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CE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CE4F87">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CE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1D0F94" w:rsidTr="00CE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CE4F87">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3007</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50497</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12435</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70530000</w:t>
            </w:r>
          </w:p>
        </w:tc>
        <w:tc>
          <w:tcPr>
            <w:tcW w:w="1169" w:type="dxa"/>
            <w:vAlign w:val="center"/>
          </w:tcPr>
          <w:p w:rsidR="001D0F94" w:rsidRDefault="00B548B0"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CE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CE4F87">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CE4F87">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Pr="005B52E1" w:rsidRDefault="002F4273" w:rsidP="002F4273">
      <w:pPr>
        <w:spacing w:line="240" w:lineRule="auto"/>
        <w:ind w:firstLine="0"/>
        <w:rPr>
          <w:rFonts w:ascii="Baskerville Old Face" w:hAnsi="Baskerville Old Face"/>
          <w:b/>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A1697F" w:rsidRDefault="00A1697F" w:rsidP="002F4273">
      <w:pPr>
        <w:spacing w:line="240" w:lineRule="auto"/>
        <w:ind w:firstLine="0"/>
        <w:rPr>
          <w:rFonts w:ascii="Baskerville Old Face" w:eastAsiaTheme="minorEastAsia" w:hAnsi="Baskerville Old Face"/>
        </w:rPr>
      </w:pPr>
    </w:p>
    <w:tbl>
      <w:tblPr>
        <w:tblStyle w:val="TableGrid"/>
        <w:tblW w:w="0" w:type="auto"/>
        <w:tblLook w:val="04A0" w:firstRow="1" w:lastRow="0" w:firstColumn="1" w:lastColumn="0" w:noHBand="0" w:noVBand="1"/>
      </w:tblPr>
      <w:tblGrid>
        <w:gridCol w:w="1870"/>
        <w:gridCol w:w="1870"/>
        <w:gridCol w:w="1870"/>
        <w:gridCol w:w="1870"/>
        <w:gridCol w:w="1870"/>
      </w:tblGrid>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Variable</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Estimate</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Std. Error</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t-value</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p-value</w:t>
            </w:r>
          </w:p>
        </w:tc>
      </w:tr>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Constant</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10.667</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6.704</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1.591</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0.113</w:t>
            </w:r>
          </w:p>
        </w:tc>
      </w:tr>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Date of Painting</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-0.00212</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0.00351</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-0.604</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0.546</w:t>
            </w:r>
          </w:p>
        </w:tc>
      </w:tr>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Dimension A</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0.0270</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0.00767</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3.519</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0.000512</w:t>
            </w:r>
          </w:p>
        </w:tc>
      </w:tr>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Dimension B</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0.0166</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0.00639</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2.595</w:t>
            </w:r>
          </w:p>
        </w:tc>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0.0100</w:t>
            </w:r>
          </w:p>
        </w:tc>
      </w:tr>
      <w:tr w:rsidR="00E3099F" w:rsidTr="00E3099F">
        <w:tc>
          <w:tcPr>
            <w:tcW w:w="1870" w:type="dxa"/>
          </w:tcPr>
          <w:p w:rsidR="00E3099F" w:rsidRDefault="006D5DF8" w:rsidP="002F4273">
            <w:pPr>
              <w:ind w:firstLine="0"/>
              <w:rPr>
                <w:rFonts w:ascii="Baskerville Old Face" w:eastAsiaTheme="minorEastAsia" w:hAnsi="Baskerville Old Face"/>
              </w:rPr>
            </w:pPr>
            <w:r>
              <w:rPr>
                <w:rFonts w:ascii="Baskerville Old Face" w:eastAsiaTheme="minorEastAsia" w:hAnsi="Baskerville Old Face"/>
              </w:rPr>
              <w:t>Authenticity</w:t>
            </w: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r>
      <w:tr w:rsidR="00E3099F" w:rsidTr="00E3099F">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r>
      <w:tr w:rsidR="00E3099F" w:rsidTr="00E3099F">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c>
          <w:tcPr>
            <w:tcW w:w="1870" w:type="dxa"/>
          </w:tcPr>
          <w:p w:rsidR="00E3099F" w:rsidRDefault="00E3099F" w:rsidP="002F4273">
            <w:pPr>
              <w:ind w:firstLine="0"/>
              <w:rPr>
                <w:rFonts w:ascii="Baskerville Old Face" w:eastAsiaTheme="minorEastAsia" w:hAnsi="Baskerville Old Face"/>
              </w:rPr>
            </w:pPr>
          </w:p>
        </w:tc>
      </w:tr>
    </w:tbl>
    <w:p w:rsidR="00A61214" w:rsidRPr="005B52E1" w:rsidRDefault="00A61214"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rPr>
          <w:rFonts w:ascii="Baskerville Old Face" w:eastAsiaTheme="minorEastAsia" w:hAnsi="Baskerville Old Face"/>
        </w:rPr>
      </w:pP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             Estimate Std. Error t value Pr(&gt;|t|)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(Intercept) 10.667134   6.703545   1.591 0.112783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DATE_PTG    -0.002122   0.003513  -0.604 0.546317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DIM_A        0.026975   0.007665   3.519 0.000512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DIM_B        0.016575   0.006388   2.595 0.010018 *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SIGNED1      0.266633   0.350862   0.760 0.447990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SIGNED2     -0.064880   0.434096  -0.149 0.881308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SIGNED3     -0.429974   0.413009  -1.041 0.298822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ART_MED6     1.779714   0.677907   2.625 0.009178 **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ART_MED9     0.348789   0.684150   0.510 0.610622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ART_MED12    2.270866   0.674249   3.368 0.000874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ART_MED15    1.473253   0.698082   2.110 0.035791 *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ART_MED18    2.952254   0.642515   4.595 6.80e-06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ART_MED24    1.457382   0.771532   1.889 0.060030 .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ART_MED27    1.093956   0.661039   1.655 0.099170 .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ART_MED30    0.490681   0.658584   0.745 0.456923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 xml:space="preserve">ART_MED33    1.278982   0.846104   1.512 0.131866    </w:t>
      </w:r>
    </w:p>
    <w:p w:rsidR="002F4273" w:rsidRPr="002B7C26" w:rsidRDefault="002F4273" w:rsidP="002F4273">
      <w:pPr>
        <w:spacing w:line="240" w:lineRule="auto"/>
        <w:ind w:left="720"/>
        <w:rPr>
          <w:rFonts w:ascii="Consolas" w:eastAsiaTheme="minorEastAsia" w:hAnsi="Consolas" w:cs="Consolas"/>
          <w:sz w:val="18"/>
          <w:szCs w:val="18"/>
        </w:rPr>
      </w:pPr>
      <w:r w:rsidRPr="002B7C26">
        <w:rPr>
          <w:rFonts w:ascii="Consolas" w:eastAsiaTheme="minorEastAsia" w:hAnsi="Consolas" w:cs="Consolas"/>
          <w:sz w:val="18"/>
          <w:szCs w:val="18"/>
        </w:rPr>
        <w:t>ART_MED39    1.767484   0.660349   2.677 0.007918 **</w:t>
      </w:r>
    </w:p>
    <w:p w:rsidR="002F4273" w:rsidRPr="002B7C26" w:rsidRDefault="002F4273" w:rsidP="002F4273">
      <w:pPr>
        <w:spacing w:line="240" w:lineRule="auto"/>
        <w:rPr>
          <w:rFonts w:ascii="Consolas" w:eastAsiaTheme="minorEastAsia" w:hAnsi="Consolas" w:cs="Consolas"/>
          <w:sz w:val="18"/>
          <w:szCs w:val="18"/>
        </w:rPr>
      </w:pPr>
      <w:r w:rsidRPr="002B7C26">
        <w:rPr>
          <w:rFonts w:ascii="Consolas" w:eastAsiaTheme="minorEastAsia" w:hAnsi="Consolas" w:cs="Consolas"/>
          <w:sz w:val="18"/>
          <w:szCs w:val="18"/>
        </w:rPr>
        <w:tab/>
        <w:t>R^2:</w:t>
      </w:r>
      <w:r w:rsidRPr="002B7C26">
        <w:rPr>
          <w:rFonts w:ascii="Consolas" w:eastAsiaTheme="minorEastAsia" w:hAnsi="Consolas" w:cs="Consolas"/>
          <w:sz w:val="18"/>
          <w:szCs w:val="18"/>
        </w:rPr>
        <w:tab/>
        <w:t xml:space="preserve">      </w:t>
      </w:r>
      <w:r w:rsidRPr="002B7C26">
        <w:rPr>
          <w:rFonts w:ascii="Consolas" w:eastAsiaTheme="minorEastAsia" w:hAnsi="Consolas" w:cs="Consolas"/>
          <w:sz w:val="18"/>
          <w:szCs w:val="18"/>
        </w:rPr>
        <w:tab/>
      </w:r>
      <w:r w:rsidRPr="002B7C26">
        <w:rPr>
          <w:rFonts w:ascii="Consolas" w:eastAsiaTheme="minorEastAsia" w:hAnsi="Consolas" w:cs="Consolas"/>
          <w:sz w:val="18"/>
          <w:szCs w:val="18"/>
        </w:rPr>
        <w:tab/>
      </w:r>
      <w:r w:rsidRPr="002B7C26">
        <w:rPr>
          <w:rFonts w:ascii="Consolas" w:eastAsiaTheme="minorEastAsia" w:hAnsi="Consolas" w:cs="Consolas"/>
          <w:sz w:val="18"/>
          <w:szCs w:val="18"/>
        </w:rPr>
        <w:tab/>
      </w:r>
      <w:r w:rsidRPr="002B7C26">
        <w:rPr>
          <w:rFonts w:ascii="Consolas" w:eastAsiaTheme="minorEastAsia" w:hAnsi="Consolas" w:cs="Consolas"/>
          <w:sz w:val="18"/>
          <w:szCs w:val="18"/>
        </w:rPr>
        <w:tab/>
        <w:t xml:space="preserve">     0.8664</w:t>
      </w:r>
    </w:p>
    <w:p w:rsidR="002F4273" w:rsidRPr="002B7C26" w:rsidRDefault="002F4273" w:rsidP="002F4273">
      <w:pPr>
        <w:spacing w:line="240" w:lineRule="auto"/>
        <w:rPr>
          <w:rFonts w:ascii="Consolas" w:eastAsiaTheme="minorEastAsia" w:hAnsi="Consolas" w:cs="Consolas"/>
          <w:sz w:val="18"/>
          <w:szCs w:val="18"/>
        </w:rPr>
      </w:pPr>
      <w:r w:rsidRPr="002B7C26">
        <w:rPr>
          <w:rFonts w:ascii="Consolas" w:eastAsiaTheme="minorEastAsia" w:hAnsi="Consolas" w:cs="Consolas"/>
          <w:sz w:val="18"/>
          <w:szCs w:val="18"/>
        </w:rPr>
        <w:tab/>
        <w:t>Adjusted R^2:                            0.8251</w:t>
      </w:r>
    </w:p>
    <w:p w:rsidR="002F4273" w:rsidRPr="002B7C26" w:rsidRDefault="002F4273" w:rsidP="002F4273">
      <w:pPr>
        <w:spacing w:line="240" w:lineRule="auto"/>
        <w:rPr>
          <w:rFonts w:ascii="Consolas" w:eastAsiaTheme="minorEastAsia" w:hAnsi="Consolas" w:cs="Consolas"/>
          <w:sz w:val="18"/>
          <w:szCs w:val="18"/>
        </w:rPr>
      </w:pPr>
      <w:r w:rsidRPr="002B7C26">
        <w:rPr>
          <w:rFonts w:ascii="Consolas" w:eastAsiaTheme="minorEastAsia" w:hAnsi="Consolas" w:cs="Consolas"/>
          <w:sz w:val="18"/>
          <w:szCs w:val="18"/>
        </w:rPr>
        <w:tab/>
        <w:t>F-statistic: 21.01 on 79 and 256 DF,  p-value: &lt; 2.2e-16</w:t>
      </w:r>
    </w:p>
    <w:p w:rsidR="002F4273" w:rsidRPr="002B7C26" w:rsidRDefault="002F4273" w:rsidP="002F4273">
      <w:pPr>
        <w:rPr>
          <w:rFonts w:ascii="Consolas" w:eastAsiaTheme="minorEastAsia" w:hAnsi="Consolas" w:cs="Consolas"/>
        </w:rPr>
      </w:pPr>
      <w:r w:rsidRPr="002B7C26">
        <w:rPr>
          <w:rFonts w:ascii="Consolas" w:eastAsiaTheme="minorEastAsia" w:hAnsi="Consolas" w:cs="Consolas"/>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0.002998  -2.013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0.077433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0.687000  -0.531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0.642117  -0.094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0.665053  -0.197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0.656519  -0.522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0.646362  -0.117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0.807695  -0.500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1.91849  -0.804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log(date_ptg)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log(len)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mediuma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mediumbr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mediumchk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mediumcol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mediumcr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mediumf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mediumg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mediumik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mediumo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mediumpas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mediumpg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mediumph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mediumpl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mediumpn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mediums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mediumsk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mediumtp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mediumw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monogrammed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stamped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0.192857  -1.755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1.018156   0.019093  53.327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past_control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months_since_last_sale  0.007903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-0.1152982  0.0499920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1.0344742  0.0203640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past_control            0.1914626  0.0952936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months_since_last_sale -0.0009164  0.0026884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F-statistic:   698 on 4 and 176 DF,  p-value: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10: Anchoring effects, assorted art (original regression from Beggs &amp; Graddy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1.147787   0.011706  98.054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-0.020331   0.012078  -1.683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avg_mon_subdiff    -0.042259   0.004782  -8.837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  p-value: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-5.2368 -0.4767  0.0007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-0.1049942  0.0673771  -1.558   0.1192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1.0203528  0.0120905  84.393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0.2836732  0.0211621  13.405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0.0084785  0.0041261   2.055   0.0399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-0.0006209  0.0006000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-2.96495 -0.33364  0.02062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1.034162   0.024752  41.781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-0.013093   0.008939  -1.465 0.143340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-0.050238   0.014234  -3.529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-7.3357 -1.1534 -0.0891  1.0304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-1.994594   0.220561  -9.043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1.240644   0.025869  47.959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-0.102460   0.026481  -3.869  0.00011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0.026968   0.005026   5.366 8.16e-08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-0.088799   0.015873  -5.594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  p-value: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-5.2351 -0.4763  0.0000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0.0085722  0.0741016   0.116   0.9079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0.9988786  0.0061643 162.044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0.2861356  0.0210827  13.572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0.0150060  0.0080184   1.871   0.0613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-0.0001465  0.0007528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-2.95880 -0.33439  0.02226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0.114989  -0.797 0.425642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1.055614   0.018161  58.124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-0.011917   0.005894  -2.022 0.043486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-0.050393   0.014217  -3.545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-7.1890 -1.0271  0.0846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0.17645 -11.541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1.27157    0.01920  66.215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0.08111    0.02262   3.586 0.000337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0.29640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-3.2922 -1.0052 -0.1560  0.8208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0.51936    0.27060   1.919 0.055144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0.48840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0.18523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-0.08254    0.04425  -1.865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-3.0733 -1.0296 -0.1694  0.7886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-0.06076    0.27531  -0.221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lastRenderedPageBreak/>
        <w:t>sub_price_hed_pred  1.03215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0.01170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-0.10641    0.04740  -2.245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-4.6215 -1.0532 -0.1586  0.8661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3.35265  -0.859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sub_price_hed_pred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0.36201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-0.05674    0.03661  -1.550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-4.7629 -1.0573 -0.2084  0.8451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-21.89473    3.22978  -6.779 1.52e-11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3.47944    0.34053  10.218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-5.2478 -0.9364 -0.0661  1.0238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sub_price_hed_pred  0.14003    0.21334   0.656    0.512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0.04258    0.04577   0.930    0.353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avg_mon_subdiff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-5.2282 -0.9288 -0.0752  0.9997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0.3686     0.2114   1.744   0.0822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0.2615     0.1351   1.936   0.0538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402" w:rsidRDefault="00700402" w:rsidP="00D623AC">
      <w:pPr>
        <w:spacing w:line="240" w:lineRule="auto"/>
      </w:pPr>
      <w:r>
        <w:separator/>
      </w:r>
    </w:p>
  </w:endnote>
  <w:endnote w:type="continuationSeparator" w:id="0">
    <w:p w:rsidR="00700402" w:rsidRDefault="00700402"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402" w:rsidRDefault="00700402" w:rsidP="00D623AC">
      <w:pPr>
        <w:spacing w:line="240" w:lineRule="auto"/>
      </w:pPr>
      <w:r>
        <w:separator/>
      </w:r>
    </w:p>
  </w:footnote>
  <w:footnote w:type="continuationSeparator" w:id="0">
    <w:p w:rsidR="00700402" w:rsidRDefault="00700402" w:rsidP="00D623AC">
      <w:pPr>
        <w:spacing w:line="240" w:lineRule="auto"/>
      </w:pPr>
      <w:r>
        <w:continuationSeparator/>
      </w:r>
    </w:p>
  </w:footnote>
  <w:footnote w:id="1">
    <w:p w:rsidR="000C0A11" w:rsidRDefault="000C0A11" w:rsidP="000C0A11">
      <w:pPr>
        <w:pStyle w:val="FootnoteText"/>
        <w:ind w:firstLine="0"/>
        <w:jc w:val="both"/>
      </w:pPr>
      <w:r>
        <w:rPr>
          <w:rStyle w:val="FootnoteReference"/>
        </w:rPr>
        <w:footnoteRef/>
      </w:r>
      <w:r>
        <w:t xml:space="preserve"> In</w:t>
      </w:r>
      <w:r w:rsidR="005E1427">
        <w:t xml:space="preserve"> particular: the Class of </w:t>
      </w:r>
      <w:r w:rsidR="00CA4DC5">
        <w:t>2016</w:t>
      </w:r>
      <w:r w:rsidR="005E1427">
        <w:t>;</w:t>
      </w:r>
      <w:r w:rsidR="001C5435">
        <w:t xml:space="preserve"> the Class of 2019</w:t>
      </w:r>
      <w:r w:rsidR="00CA4DC5">
        <w:t>;</w:t>
      </w:r>
      <w:r>
        <w:t xml:space="preserve"> Andrew Chung</w:t>
      </w:r>
      <w:r w:rsidR="005E1427">
        <w:t xml:space="preserve"> ‘18</w:t>
      </w:r>
      <w:r>
        <w:t>; David Sng ’13, Tanny Kang ’</w:t>
      </w:r>
      <w:r w:rsidR="002B795C">
        <w:t>14.</w:t>
      </w:r>
    </w:p>
  </w:footnote>
  <w:footnote w:id="2">
    <w:p w:rsidR="00D26DC4" w:rsidRDefault="00D26DC4"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3">
    <w:p w:rsidR="00D26DC4" w:rsidRDefault="00D26DC4" w:rsidP="00F66315">
      <w:pPr>
        <w:pStyle w:val="FootnoteText"/>
      </w:pPr>
      <w:r>
        <w:rPr>
          <w:rStyle w:val="FootnoteReference"/>
        </w:rPr>
        <w:footnoteRef/>
      </w:r>
      <w:r>
        <w:t xml:space="preserve"> Interview, Raphaelle Benabou.</w:t>
      </w:r>
    </w:p>
  </w:footnote>
  <w:footnote w:id="4">
    <w:p w:rsidR="00D26DC4" w:rsidRDefault="00D26DC4" w:rsidP="00F66315">
      <w:pPr>
        <w:pStyle w:val="FootnoteText"/>
      </w:pPr>
      <w:r>
        <w:rPr>
          <w:rStyle w:val="FootnoteReference"/>
        </w:rPr>
        <w:footnoteRef/>
      </w:r>
      <w:r>
        <w:t xml:space="preserve"> Interview, Mark Best.</w:t>
      </w:r>
    </w:p>
  </w:footnote>
  <w:footnote w:id="5">
    <w:p w:rsidR="00D26DC4" w:rsidRDefault="00D26DC4" w:rsidP="00344358">
      <w:pPr>
        <w:pStyle w:val="FootnoteText"/>
      </w:pPr>
      <w:r>
        <w:rPr>
          <w:rStyle w:val="FootnoteReference"/>
        </w:rPr>
        <w:footnoteRef/>
      </w:r>
      <w:r>
        <w:t xml:space="preserve"> The auctioneer will call out prices around 10% higher than the current bid (“Sotheby’s – Glossary” n.d.).</w:t>
      </w:r>
    </w:p>
  </w:footnote>
  <w:footnote w:id="6">
    <w:p w:rsidR="00D26DC4" w:rsidRDefault="00D26DC4" w:rsidP="009C323E">
      <w:pPr>
        <w:pStyle w:val="FootnoteText"/>
      </w:pPr>
      <w:r>
        <w:rPr>
          <w:rStyle w:val="FootnoteReference"/>
        </w:rPr>
        <w:footnoteRef/>
      </w:r>
      <w:r>
        <w:t xml:space="preserve"> Interview, Raphaelle Benabou.</w:t>
      </w:r>
    </w:p>
  </w:footnote>
  <w:footnote w:id="7">
    <w:p w:rsidR="00D26DC4" w:rsidRDefault="00D26DC4">
      <w:pPr>
        <w:pStyle w:val="FootnoteText"/>
      </w:pPr>
      <w:r>
        <w:rPr>
          <w:rStyle w:val="FootnoteReference"/>
        </w:rPr>
        <w:footnoteRef/>
      </w:r>
      <w:r>
        <w:t xml:space="preserve"> Interview, Raphaelle Benabou.</w:t>
      </w:r>
    </w:p>
  </w:footnote>
  <w:footnote w:id="8">
    <w:p w:rsidR="00D26DC4" w:rsidRDefault="00D26DC4" w:rsidP="003A55CE">
      <w:pPr>
        <w:pStyle w:val="FootnoteText"/>
      </w:pPr>
      <w:r>
        <w:rPr>
          <w:rStyle w:val="FootnoteReference"/>
        </w:rPr>
        <w:footnoteRef/>
      </w:r>
      <w:r>
        <w:t xml:space="preserve"> Specifically, both the relative and absolute range between low and high estimates.</w:t>
      </w:r>
    </w:p>
  </w:footnote>
  <w:footnote w:id="9">
    <w:p w:rsidR="00D26DC4" w:rsidRDefault="00D26DC4">
      <w:pPr>
        <w:pStyle w:val="FootnoteText"/>
      </w:pPr>
      <w:r>
        <w:rPr>
          <w:rStyle w:val="FootnoteReference"/>
        </w:rPr>
        <w:footnoteRef/>
      </w:r>
      <w:r>
        <w:t xml:space="preserve"> Interview, Raphaelle Benabou.</w:t>
      </w:r>
    </w:p>
  </w:footnote>
  <w:footnote w:id="10">
    <w:p w:rsidR="00D26DC4" w:rsidRDefault="00D26DC4" w:rsidP="00690171">
      <w:pPr>
        <w:pStyle w:val="FootnoteText"/>
      </w:pPr>
      <w:r>
        <w:rPr>
          <w:rStyle w:val="FootnoteReference"/>
        </w:rPr>
        <w:footnoteRef/>
      </w:r>
      <w:r>
        <w:t xml:space="preserve"> For more about Auction Week, see Goldstein (2014).</w:t>
      </w:r>
    </w:p>
  </w:footnote>
  <w:footnote w:id="11">
    <w:p w:rsidR="00D26DC4" w:rsidRDefault="00D26DC4" w:rsidP="00D105E8">
      <w:pPr>
        <w:pStyle w:val="FootnoteText"/>
      </w:pPr>
      <w:r>
        <w:rPr>
          <w:rStyle w:val="FootnoteReference"/>
        </w:rPr>
        <w:footnoteRef/>
      </w:r>
      <w:r>
        <w:t xml:space="preserve"> </w:t>
      </w:r>
      <w:r w:rsidRPr="004A56CC">
        <w:t>http://people.brandeis.edu/~kgraddy/data.html</w:t>
      </w:r>
    </w:p>
  </w:footnote>
  <w:footnote w:id="12">
    <w:p w:rsidR="00D26DC4" w:rsidRDefault="00D26DC4" w:rsidP="00D105E8">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(Section 5) I make the assumption that duplicate observations in their Impressionist and Contemporary data refer to multiple sales of the same item.</w:t>
      </w:r>
    </w:p>
  </w:footnote>
  <w:footnote w:id="13">
    <w:p w:rsidR="00D26DC4" w:rsidRDefault="00D26DC4"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14">
    <w:p w:rsidR="00D26DC4" w:rsidRDefault="00D26DC4"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D26DC4" w:rsidRDefault="00D26DC4"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D26DC4" w:rsidRDefault="00D26DC4"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17">
    <w:p w:rsidR="00D26DC4" w:rsidRDefault="00D26DC4" w:rsidP="00D105E8">
      <w:pPr>
        <w:pStyle w:val="FootnoteText"/>
      </w:pPr>
      <w:r>
        <w:rPr>
          <w:rStyle w:val="FootnoteReference"/>
        </w:rPr>
        <w:footnoteRef/>
      </w:r>
      <w:r>
        <w:t xml:space="preserve"> For further discussion: </w:t>
      </w:r>
      <w:r w:rsidRPr="00CA2BC0">
        <w:t>http://www.jstor.org/stable/pdf/20715780.pdf?acceptTC=true</w:t>
      </w:r>
    </w:p>
  </w:footnote>
  <w:footnote w:id="18">
    <w:p w:rsidR="00D26DC4" w:rsidRDefault="00D26DC4"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19">
    <w:p w:rsidR="00D26DC4" w:rsidRDefault="00D26DC4" w:rsidP="00B56211">
      <w:pPr>
        <w:pStyle w:val="FootnoteText"/>
        <w:ind w:firstLine="0"/>
      </w:pPr>
      <w:r>
        <w:rPr>
          <w:rStyle w:val="FootnoteReference"/>
        </w:rPr>
        <w:footnoteRef/>
      </w:r>
      <w:r>
        <w:t xml:space="preserve"> For instance, Matt Lamb’s “Figures” fetched $24K at Christie’s, London on June 22, 2010. (Christie’s Lotfinder) </w:t>
      </w:r>
    </w:p>
  </w:footnote>
  <w:footnote w:id="20">
    <w:p w:rsidR="00D26DC4" w:rsidRDefault="00D26DC4">
      <w:pPr>
        <w:pStyle w:val="FootnoteText"/>
      </w:pPr>
      <w:r>
        <w:rPr>
          <w:rStyle w:val="FootnoteReference"/>
        </w:rPr>
        <w:footnoteRef/>
      </w:r>
      <w: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6AC4"/>
    <w:rsid w:val="000933C4"/>
    <w:rsid w:val="00093C7F"/>
    <w:rsid w:val="000949D0"/>
    <w:rsid w:val="000949D5"/>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50EF"/>
    <w:rsid w:val="00132193"/>
    <w:rsid w:val="001347FA"/>
    <w:rsid w:val="00134C21"/>
    <w:rsid w:val="00137FCF"/>
    <w:rsid w:val="00146E80"/>
    <w:rsid w:val="00147557"/>
    <w:rsid w:val="001531B9"/>
    <w:rsid w:val="00154058"/>
    <w:rsid w:val="00154622"/>
    <w:rsid w:val="0015554D"/>
    <w:rsid w:val="0016234F"/>
    <w:rsid w:val="00171002"/>
    <w:rsid w:val="001746B1"/>
    <w:rsid w:val="00176D2A"/>
    <w:rsid w:val="00177D08"/>
    <w:rsid w:val="0018386A"/>
    <w:rsid w:val="00186E3B"/>
    <w:rsid w:val="00190454"/>
    <w:rsid w:val="001963A6"/>
    <w:rsid w:val="001A0792"/>
    <w:rsid w:val="001B238A"/>
    <w:rsid w:val="001C10E5"/>
    <w:rsid w:val="001C431E"/>
    <w:rsid w:val="001C5435"/>
    <w:rsid w:val="001C71EE"/>
    <w:rsid w:val="001D0BDD"/>
    <w:rsid w:val="001D0F94"/>
    <w:rsid w:val="001D1095"/>
    <w:rsid w:val="001D37D3"/>
    <w:rsid w:val="001D59E4"/>
    <w:rsid w:val="001D6940"/>
    <w:rsid w:val="001E2855"/>
    <w:rsid w:val="001E2D9B"/>
    <w:rsid w:val="001E70AC"/>
    <w:rsid w:val="001F12A1"/>
    <w:rsid w:val="002070DE"/>
    <w:rsid w:val="00207AB5"/>
    <w:rsid w:val="00212F06"/>
    <w:rsid w:val="00215A67"/>
    <w:rsid w:val="002254BB"/>
    <w:rsid w:val="00231367"/>
    <w:rsid w:val="002330FE"/>
    <w:rsid w:val="002354BD"/>
    <w:rsid w:val="00240A87"/>
    <w:rsid w:val="002413AA"/>
    <w:rsid w:val="00244E2A"/>
    <w:rsid w:val="0025210D"/>
    <w:rsid w:val="002531B1"/>
    <w:rsid w:val="00270A01"/>
    <w:rsid w:val="00276DA2"/>
    <w:rsid w:val="0028464F"/>
    <w:rsid w:val="00295476"/>
    <w:rsid w:val="00297B06"/>
    <w:rsid w:val="002B2CF5"/>
    <w:rsid w:val="002B3BB4"/>
    <w:rsid w:val="002B4B52"/>
    <w:rsid w:val="002B5B55"/>
    <w:rsid w:val="002B70E8"/>
    <w:rsid w:val="002B795C"/>
    <w:rsid w:val="002B7C26"/>
    <w:rsid w:val="002C0D09"/>
    <w:rsid w:val="002C1F1C"/>
    <w:rsid w:val="002C6C3B"/>
    <w:rsid w:val="002D7905"/>
    <w:rsid w:val="002F01DE"/>
    <w:rsid w:val="002F0954"/>
    <w:rsid w:val="002F4273"/>
    <w:rsid w:val="00302236"/>
    <w:rsid w:val="0030346D"/>
    <w:rsid w:val="00306E4C"/>
    <w:rsid w:val="00312552"/>
    <w:rsid w:val="0031546B"/>
    <w:rsid w:val="0031625C"/>
    <w:rsid w:val="003206D9"/>
    <w:rsid w:val="0032680E"/>
    <w:rsid w:val="00332E64"/>
    <w:rsid w:val="00334021"/>
    <w:rsid w:val="00334B4B"/>
    <w:rsid w:val="003376D2"/>
    <w:rsid w:val="00341500"/>
    <w:rsid w:val="00341501"/>
    <w:rsid w:val="003421E3"/>
    <w:rsid w:val="00344358"/>
    <w:rsid w:val="003467B4"/>
    <w:rsid w:val="00350892"/>
    <w:rsid w:val="00351855"/>
    <w:rsid w:val="003555C8"/>
    <w:rsid w:val="00357F4E"/>
    <w:rsid w:val="00367CE5"/>
    <w:rsid w:val="003709B0"/>
    <w:rsid w:val="00371647"/>
    <w:rsid w:val="00380ED4"/>
    <w:rsid w:val="00383DFF"/>
    <w:rsid w:val="00384159"/>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D1ECF"/>
    <w:rsid w:val="003D6BB2"/>
    <w:rsid w:val="003E0F8E"/>
    <w:rsid w:val="003E55B6"/>
    <w:rsid w:val="003E5DF3"/>
    <w:rsid w:val="003F0A27"/>
    <w:rsid w:val="003F62D5"/>
    <w:rsid w:val="00400F06"/>
    <w:rsid w:val="00402489"/>
    <w:rsid w:val="00402D1C"/>
    <w:rsid w:val="0040496E"/>
    <w:rsid w:val="004175E4"/>
    <w:rsid w:val="004337B3"/>
    <w:rsid w:val="00434BD8"/>
    <w:rsid w:val="00436EE4"/>
    <w:rsid w:val="004377D6"/>
    <w:rsid w:val="00450A5E"/>
    <w:rsid w:val="004528E8"/>
    <w:rsid w:val="00456571"/>
    <w:rsid w:val="00456C75"/>
    <w:rsid w:val="0045709A"/>
    <w:rsid w:val="004572CE"/>
    <w:rsid w:val="00460708"/>
    <w:rsid w:val="00463170"/>
    <w:rsid w:val="00467528"/>
    <w:rsid w:val="00472B0B"/>
    <w:rsid w:val="00480845"/>
    <w:rsid w:val="004920AE"/>
    <w:rsid w:val="00494016"/>
    <w:rsid w:val="00494442"/>
    <w:rsid w:val="00494877"/>
    <w:rsid w:val="004A0373"/>
    <w:rsid w:val="004A0800"/>
    <w:rsid w:val="004B5572"/>
    <w:rsid w:val="004B61C1"/>
    <w:rsid w:val="004B6DE6"/>
    <w:rsid w:val="004B72F2"/>
    <w:rsid w:val="004C01FD"/>
    <w:rsid w:val="004D5B95"/>
    <w:rsid w:val="004D5CCA"/>
    <w:rsid w:val="004D60E1"/>
    <w:rsid w:val="004E100D"/>
    <w:rsid w:val="004E1EC2"/>
    <w:rsid w:val="004E3BB5"/>
    <w:rsid w:val="004E66D4"/>
    <w:rsid w:val="00506158"/>
    <w:rsid w:val="0051081B"/>
    <w:rsid w:val="0051133C"/>
    <w:rsid w:val="00511DA9"/>
    <w:rsid w:val="00516299"/>
    <w:rsid w:val="00517126"/>
    <w:rsid w:val="005234F0"/>
    <w:rsid w:val="00524462"/>
    <w:rsid w:val="00530D64"/>
    <w:rsid w:val="0053321B"/>
    <w:rsid w:val="0053593F"/>
    <w:rsid w:val="0054660A"/>
    <w:rsid w:val="005475B0"/>
    <w:rsid w:val="005560D1"/>
    <w:rsid w:val="00561DBF"/>
    <w:rsid w:val="00563E01"/>
    <w:rsid w:val="00566689"/>
    <w:rsid w:val="00567020"/>
    <w:rsid w:val="00570E11"/>
    <w:rsid w:val="005770EB"/>
    <w:rsid w:val="00580396"/>
    <w:rsid w:val="00585294"/>
    <w:rsid w:val="00586AA9"/>
    <w:rsid w:val="00587F8E"/>
    <w:rsid w:val="00596626"/>
    <w:rsid w:val="005A0EBC"/>
    <w:rsid w:val="005A4B4F"/>
    <w:rsid w:val="005B1D26"/>
    <w:rsid w:val="005B52E1"/>
    <w:rsid w:val="005D34C8"/>
    <w:rsid w:val="005E1427"/>
    <w:rsid w:val="005E7696"/>
    <w:rsid w:val="005F0836"/>
    <w:rsid w:val="005F119B"/>
    <w:rsid w:val="005F489B"/>
    <w:rsid w:val="005F588E"/>
    <w:rsid w:val="005F7F39"/>
    <w:rsid w:val="006014AE"/>
    <w:rsid w:val="0060265A"/>
    <w:rsid w:val="00605F43"/>
    <w:rsid w:val="006173A9"/>
    <w:rsid w:val="0062080F"/>
    <w:rsid w:val="00621DE7"/>
    <w:rsid w:val="0062376E"/>
    <w:rsid w:val="0062391C"/>
    <w:rsid w:val="0063497A"/>
    <w:rsid w:val="006374B8"/>
    <w:rsid w:val="00641F11"/>
    <w:rsid w:val="00646514"/>
    <w:rsid w:val="00647719"/>
    <w:rsid w:val="00651CE6"/>
    <w:rsid w:val="00652C7F"/>
    <w:rsid w:val="00670423"/>
    <w:rsid w:val="00671A7C"/>
    <w:rsid w:val="00681E77"/>
    <w:rsid w:val="006821A1"/>
    <w:rsid w:val="006840AC"/>
    <w:rsid w:val="00685026"/>
    <w:rsid w:val="00690171"/>
    <w:rsid w:val="0069368E"/>
    <w:rsid w:val="00694C3D"/>
    <w:rsid w:val="006A0803"/>
    <w:rsid w:val="006A481B"/>
    <w:rsid w:val="006B282A"/>
    <w:rsid w:val="006B7A8C"/>
    <w:rsid w:val="006C2BC3"/>
    <w:rsid w:val="006D107D"/>
    <w:rsid w:val="006D5DF8"/>
    <w:rsid w:val="006E0C02"/>
    <w:rsid w:val="006E1ECF"/>
    <w:rsid w:val="006E4623"/>
    <w:rsid w:val="006F26E7"/>
    <w:rsid w:val="006F4F14"/>
    <w:rsid w:val="006F6EFB"/>
    <w:rsid w:val="00700402"/>
    <w:rsid w:val="00711E9B"/>
    <w:rsid w:val="00720507"/>
    <w:rsid w:val="00722A49"/>
    <w:rsid w:val="00722BA8"/>
    <w:rsid w:val="00732A57"/>
    <w:rsid w:val="00747839"/>
    <w:rsid w:val="00750203"/>
    <w:rsid w:val="00751B93"/>
    <w:rsid w:val="00752986"/>
    <w:rsid w:val="00761B45"/>
    <w:rsid w:val="00764598"/>
    <w:rsid w:val="0077071D"/>
    <w:rsid w:val="00772EA4"/>
    <w:rsid w:val="007774D5"/>
    <w:rsid w:val="007905F4"/>
    <w:rsid w:val="007925A1"/>
    <w:rsid w:val="00795790"/>
    <w:rsid w:val="00795811"/>
    <w:rsid w:val="007967EE"/>
    <w:rsid w:val="007A2CDF"/>
    <w:rsid w:val="007A669B"/>
    <w:rsid w:val="007B1E08"/>
    <w:rsid w:val="007B21C0"/>
    <w:rsid w:val="007B7D54"/>
    <w:rsid w:val="007C3A38"/>
    <w:rsid w:val="007C5131"/>
    <w:rsid w:val="007D4B3A"/>
    <w:rsid w:val="007D75CF"/>
    <w:rsid w:val="007D7D40"/>
    <w:rsid w:val="007E0C70"/>
    <w:rsid w:val="007E4FDF"/>
    <w:rsid w:val="007E77D6"/>
    <w:rsid w:val="00800747"/>
    <w:rsid w:val="00801C36"/>
    <w:rsid w:val="0080417E"/>
    <w:rsid w:val="00804A37"/>
    <w:rsid w:val="008079D1"/>
    <w:rsid w:val="00813572"/>
    <w:rsid w:val="00821A25"/>
    <w:rsid w:val="00830519"/>
    <w:rsid w:val="0083279B"/>
    <w:rsid w:val="00835E99"/>
    <w:rsid w:val="0083664F"/>
    <w:rsid w:val="00836884"/>
    <w:rsid w:val="00840CBA"/>
    <w:rsid w:val="00861764"/>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A072D"/>
    <w:rsid w:val="008B0CC7"/>
    <w:rsid w:val="008B5641"/>
    <w:rsid w:val="008B74A4"/>
    <w:rsid w:val="008C0733"/>
    <w:rsid w:val="008C4524"/>
    <w:rsid w:val="008C728B"/>
    <w:rsid w:val="008C7921"/>
    <w:rsid w:val="008C7E1B"/>
    <w:rsid w:val="008D0779"/>
    <w:rsid w:val="008D42D0"/>
    <w:rsid w:val="008D44F3"/>
    <w:rsid w:val="008E4732"/>
    <w:rsid w:val="008E5435"/>
    <w:rsid w:val="008E67F4"/>
    <w:rsid w:val="008E7297"/>
    <w:rsid w:val="008E7E86"/>
    <w:rsid w:val="008F034F"/>
    <w:rsid w:val="008F6EA0"/>
    <w:rsid w:val="00905B18"/>
    <w:rsid w:val="00906170"/>
    <w:rsid w:val="00911339"/>
    <w:rsid w:val="009166E3"/>
    <w:rsid w:val="009200AF"/>
    <w:rsid w:val="00922334"/>
    <w:rsid w:val="00922F99"/>
    <w:rsid w:val="009272D4"/>
    <w:rsid w:val="00927BAA"/>
    <w:rsid w:val="0093193C"/>
    <w:rsid w:val="00943849"/>
    <w:rsid w:val="00944C75"/>
    <w:rsid w:val="00945A2E"/>
    <w:rsid w:val="00951D5C"/>
    <w:rsid w:val="00955765"/>
    <w:rsid w:val="00962304"/>
    <w:rsid w:val="009643FC"/>
    <w:rsid w:val="009710F8"/>
    <w:rsid w:val="00973471"/>
    <w:rsid w:val="009800FE"/>
    <w:rsid w:val="00987407"/>
    <w:rsid w:val="009A2EC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E66"/>
    <w:rsid w:val="009F4E42"/>
    <w:rsid w:val="009F67CF"/>
    <w:rsid w:val="00A0494A"/>
    <w:rsid w:val="00A0540C"/>
    <w:rsid w:val="00A06051"/>
    <w:rsid w:val="00A12089"/>
    <w:rsid w:val="00A13E4E"/>
    <w:rsid w:val="00A15E91"/>
    <w:rsid w:val="00A1697F"/>
    <w:rsid w:val="00A173A1"/>
    <w:rsid w:val="00A30418"/>
    <w:rsid w:val="00A31011"/>
    <w:rsid w:val="00A31E23"/>
    <w:rsid w:val="00A401DF"/>
    <w:rsid w:val="00A45A9C"/>
    <w:rsid w:val="00A513A4"/>
    <w:rsid w:val="00A57599"/>
    <w:rsid w:val="00A61214"/>
    <w:rsid w:val="00A62F07"/>
    <w:rsid w:val="00A633E3"/>
    <w:rsid w:val="00A63B99"/>
    <w:rsid w:val="00A65D9B"/>
    <w:rsid w:val="00A66C49"/>
    <w:rsid w:val="00A675AA"/>
    <w:rsid w:val="00A70D4D"/>
    <w:rsid w:val="00A740AA"/>
    <w:rsid w:val="00A74399"/>
    <w:rsid w:val="00A74FDC"/>
    <w:rsid w:val="00A833BC"/>
    <w:rsid w:val="00A8343C"/>
    <w:rsid w:val="00A92DE4"/>
    <w:rsid w:val="00A96B84"/>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66A6"/>
    <w:rsid w:val="00B078DA"/>
    <w:rsid w:val="00B07B7D"/>
    <w:rsid w:val="00B1643D"/>
    <w:rsid w:val="00B22BEA"/>
    <w:rsid w:val="00B2410E"/>
    <w:rsid w:val="00B25F29"/>
    <w:rsid w:val="00B26D40"/>
    <w:rsid w:val="00B3600A"/>
    <w:rsid w:val="00B52633"/>
    <w:rsid w:val="00B548B0"/>
    <w:rsid w:val="00B54F84"/>
    <w:rsid w:val="00B55BC1"/>
    <w:rsid w:val="00B56211"/>
    <w:rsid w:val="00B637ED"/>
    <w:rsid w:val="00B65AD4"/>
    <w:rsid w:val="00B67DF9"/>
    <w:rsid w:val="00B711F2"/>
    <w:rsid w:val="00B77202"/>
    <w:rsid w:val="00B81447"/>
    <w:rsid w:val="00BA03AC"/>
    <w:rsid w:val="00BA2035"/>
    <w:rsid w:val="00BA3854"/>
    <w:rsid w:val="00BB0C9D"/>
    <w:rsid w:val="00BB2126"/>
    <w:rsid w:val="00BB4113"/>
    <w:rsid w:val="00BB4A23"/>
    <w:rsid w:val="00BC275A"/>
    <w:rsid w:val="00BD73CA"/>
    <w:rsid w:val="00BE2D94"/>
    <w:rsid w:val="00BE303F"/>
    <w:rsid w:val="00BE6B3E"/>
    <w:rsid w:val="00BE7DEC"/>
    <w:rsid w:val="00BF191A"/>
    <w:rsid w:val="00C01B23"/>
    <w:rsid w:val="00C031D4"/>
    <w:rsid w:val="00C14F4C"/>
    <w:rsid w:val="00C15C76"/>
    <w:rsid w:val="00C172D9"/>
    <w:rsid w:val="00C2207D"/>
    <w:rsid w:val="00C2335B"/>
    <w:rsid w:val="00C264C3"/>
    <w:rsid w:val="00C32132"/>
    <w:rsid w:val="00C334EB"/>
    <w:rsid w:val="00C4098F"/>
    <w:rsid w:val="00C45AC9"/>
    <w:rsid w:val="00C525D7"/>
    <w:rsid w:val="00C54F09"/>
    <w:rsid w:val="00C55734"/>
    <w:rsid w:val="00C64C7A"/>
    <w:rsid w:val="00C66357"/>
    <w:rsid w:val="00C667A4"/>
    <w:rsid w:val="00C7498E"/>
    <w:rsid w:val="00C84D23"/>
    <w:rsid w:val="00C85DD6"/>
    <w:rsid w:val="00C9226C"/>
    <w:rsid w:val="00C9586F"/>
    <w:rsid w:val="00C96D1D"/>
    <w:rsid w:val="00CA02F7"/>
    <w:rsid w:val="00CA4B28"/>
    <w:rsid w:val="00CA4DC5"/>
    <w:rsid w:val="00CB20C3"/>
    <w:rsid w:val="00CB20DE"/>
    <w:rsid w:val="00CB480F"/>
    <w:rsid w:val="00CB4BAE"/>
    <w:rsid w:val="00CB6A45"/>
    <w:rsid w:val="00CC1D62"/>
    <w:rsid w:val="00CC39C6"/>
    <w:rsid w:val="00CD2344"/>
    <w:rsid w:val="00CD562D"/>
    <w:rsid w:val="00CD62A5"/>
    <w:rsid w:val="00CE4141"/>
    <w:rsid w:val="00CE5636"/>
    <w:rsid w:val="00CF1DEA"/>
    <w:rsid w:val="00CF77FB"/>
    <w:rsid w:val="00D01C69"/>
    <w:rsid w:val="00D07579"/>
    <w:rsid w:val="00D1031E"/>
    <w:rsid w:val="00D105E8"/>
    <w:rsid w:val="00D14E9A"/>
    <w:rsid w:val="00D15A10"/>
    <w:rsid w:val="00D20AA6"/>
    <w:rsid w:val="00D21488"/>
    <w:rsid w:val="00D21CD7"/>
    <w:rsid w:val="00D23AE4"/>
    <w:rsid w:val="00D26DC4"/>
    <w:rsid w:val="00D34A70"/>
    <w:rsid w:val="00D35470"/>
    <w:rsid w:val="00D36921"/>
    <w:rsid w:val="00D418BE"/>
    <w:rsid w:val="00D444B2"/>
    <w:rsid w:val="00D44FC7"/>
    <w:rsid w:val="00D468D7"/>
    <w:rsid w:val="00D52BB6"/>
    <w:rsid w:val="00D53970"/>
    <w:rsid w:val="00D5552B"/>
    <w:rsid w:val="00D562C3"/>
    <w:rsid w:val="00D623AC"/>
    <w:rsid w:val="00D628FE"/>
    <w:rsid w:val="00D64AF1"/>
    <w:rsid w:val="00D65501"/>
    <w:rsid w:val="00D65B31"/>
    <w:rsid w:val="00D7092B"/>
    <w:rsid w:val="00D71341"/>
    <w:rsid w:val="00D72207"/>
    <w:rsid w:val="00D757D1"/>
    <w:rsid w:val="00D75D6F"/>
    <w:rsid w:val="00D90502"/>
    <w:rsid w:val="00D9358F"/>
    <w:rsid w:val="00D96915"/>
    <w:rsid w:val="00DB161C"/>
    <w:rsid w:val="00DB56A1"/>
    <w:rsid w:val="00DC4427"/>
    <w:rsid w:val="00DC7F74"/>
    <w:rsid w:val="00DE0F88"/>
    <w:rsid w:val="00DE1027"/>
    <w:rsid w:val="00DE40A0"/>
    <w:rsid w:val="00DE6D5B"/>
    <w:rsid w:val="00DF00B9"/>
    <w:rsid w:val="00DF5417"/>
    <w:rsid w:val="00DF5AA3"/>
    <w:rsid w:val="00DF6345"/>
    <w:rsid w:val="00DF7866"/>
    <w:rsid w:val="00E02FB8"/>
    <w:rsid w:val="00E033D0"/>
    <w:rsid w:val="00E23FE7"/>
    <w:rsid w:val="00E3099F"/>
    <w:rsid w:val="00E30C3C"/>
    <w:rsid w:val="00E316CA"/>
    <w:rsid w:val="00E367F6"/>
    <w:rsid w:val="00E41AD7"/>
    <w:rsid w:val="00E424B8"/>
    <w:rsid w:val="00E43DD3"/>
    <w:rsid w:val="00E45D27"/>
    <w:rsid w:val="00E5185A"/>
    <w:rsid w:val="00E52B98"/>
    <w:rsid w:val="00E52CAC"/>
    <w:rsid w:val="00E5491D"/>
    <w:rsid w:val="00E558A5"/>
    <w:rsid w:val="00E5633F"/>
    <w:rsid w:val="00E57000"/>
    <w:rsid w:val="00E62B51"/>
    <w:rsid w:val="00E66EBD"/>
    <w:rsid w:val="00E725C1"/>
    <w:rsid w:val="00E73896"/>
    <w:rsid w:val="00E8166F"/>
    <w:rsid w:val="00E84154"/>
    <w:rsid w:val="00E8696C"/>
    <w:rsid w:val="00E86E3C"/>
    <w:rsid w:val="00E91273"/>
    <w:rsid w:val="00E92EB8"/>
    <w:rsid w:val="00E97A5C"/>
    <w:rsid w:val="00EA35F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6F47"/>
    <w:rsid w:val="00F568A4"/>
    <w:rsid w:val="00F60EBF"/>
    <w:rsid w:val="00F614AC"/>
    <w:rsid w:val="00F62E15"/>
    <w:rsid w:val="00F656CB"/>
    <w:rsid w:val="00F66315"/>
    <w:rsid w:val="00F723BA"/>
    <w:rsid w:val="00F7249F"/>
    <w:rsid w:val="00F7324E"/>
    <w:rsid w:val="00F73C84"/>
    <w:rsid w:val="00F84C50"/>
    <w:rsid w:val="00F86F81"/>
    <w:rsid w:val="00F8774F"/>
    <w:rsid w:val="00F93613"/>
    <w:rsid w:val="00F93D14"/>
    <w:rsid w:val="00FA361A"/>
    <w:rsid w:val="00FA6406"/>
    <w:rsid w:val="00FB0B4C"/>
    <w:rsid w:val="00FC12A0"/>
    <w:rsid w:val="00FC1F55"/>
    <w:rsid w:val="00FC2420"/>
    <w:rsid w:val="00FC26BE"/>
    <w:rsid w:val="00FC296A"/>
    <w:rsid w:val="00FC5A05"/>
    <w:rsid w:val="00FD1C20"/>
    <w:rsid w:val="00FD26FB"/>
    <w:rsid w:val="00FE2DB8"/>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3AEC-D7FF-412E-9758-165FDCAB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80</Pages>
  <Words>18603</Words>
  <Characters>106041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867</cp:revision>
  <cp:lastPrinted>2016-04-12T05:17:00Z</cp:lastPrinted>
  <dcterms:created xsi:type="dcterms:W3CDTF">2016-04-11T20:04:00Z</dcterms:created>
  <dcterms:modified xsi:type="dcterms:W3CDTF">2016-04-12T06:54:00Z</dcterms:modified>
</cp:coreProperties>
</file>