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always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boba.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Sushirrito</w:t>
      </w:r>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Tzou,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7D75CF"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Woramanot (Earning) Yomjinda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fairy)</w:t>
      </w:r>
      <w:r w:rsidR="00456571">
        <w:rPr>
          <w:rFonts w:ascii="Baskerville Old Face" w:hAnsi="Baskerville Old Face"/>
        </w:rPr>
        <w:t xml:space="preserve">, Richard Chang ’17,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D75CF" w:rsidP="00E316CA">
      <w:pPr>
        <w:spacing w:line="240" w:lineRule="auto"/>
        <w:ind w:firstLine="0"/>
        <w:rPr>
          <w:rFonts w:ascii="Baskerville Old Face" w:hAnsi="Baskerville Old Face"/>
        </w:rPr>
      </w:pPr>
      <w:r>
        <w:rPr>
          <w:rFonts w:ascii="Baskerville Old Face" w:hAnsi="Baskerville Old Face"/>
        </w:rPr>
        <w:t xml:space="preserve">The Princeton Pianists’ Ensemble has been a </w:t>
      </w:r>
      <w:r w:rsidR="001531B9">
        <w:rPr>
          <w:rFonts w:ascii="Baskerville Old Face" w:hAnsi="Baskerville Old Face"/>
        </w:rPr>
        <w:t xml:space="preserve">major </w:t>
      </w:r>
      <w:r>
        <w:rPr>
          <w:rFonts w:ascii="Baskerville Old Face" w:hAnsi="Baskerville Old Face"/>
        </w:rPr>
        <w:t>highlight of my time here</w:t>
      </w:r>
      <w:r w:rsidR="00D418BE">
        <w:rPr>
          <w:rFonts w:ascii="Baskerville Old Face" w:hAnsi="Baskerville Old Face"/>
        </w:rPr>
        <w:t xml:space="preserve">, and </w:t>
      </w:r>
      <w:r w:rsidR="00BD5619">
        <w:rPr>
          <w:rFonts w:ascii="Baskerville Old Face" w:hAnsi="Baskerville Old Face"/>
        </w:rPr>
        <w:t xml:space="preserve">it’s been </w:t>
      </w:r>
      <w:r w:rsidR="00A806A1">
        <w:rPr>
          <w:rFonts w:ascii="Baskerville Old Face" w:hAnsi="Baskerville Old Face"/>
        </w:rPr>
        <w:t xml:space="preserve">an honor </w:t>
      </w:r>
      <w:r w:rsidR="001531B9">
        <w:rPr>
          <w:rFonts w:ascii="Baskerville Old Face" w:hAnsi="Baskerville Old Face"/>
        </w:rPr>
        <w:t>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 xml:space="preserve">service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795811" w:rsidRDefault="00795811"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 xml:space="preserve">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w:t>
      </w:r>
      <w:r w:rsidR="00E47230">
        <w:rPr>
          <w:rFonts w:ascii="Baskerville Old Face" w:hAnsi="Baskerville Old Face"/>
        </w:rPr>
        <w:t>Our</w:t>
      </w:r>
      <w:r w:rsidRPr="005B52E1">
        <w:rPr>
          <w:rFonts w:ascii="Baskerville Old Face" w:hAnsi="Baskerville Old Face"/>
        </w:rPr>
        <w:t xml:space="preserve"> research generalizes the anchoring model of Beggs &amp; Graddy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6A4FB1">
      <w:pPr>
        <w:spacing w:line="480" w:lineRule="auto"/>
        <w:ind w:firstLine="0"/>
        <w:jc w:val="center"/>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5D3D05">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INTRODUCTION</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The Art Auction System</w:t>
      </w:r>
      <w:r w:rsidR="00BC374B">
        <w:rPr>
          <w:rFonts w:ascii="Baskerville Old Face" w:hAnsi="Baskerville Old Face"/>
        </w:rPr>
        <w:br/>
      </w:r>
    </w:p>
    <w:p w:rsidR="00717FEE" w:rsidRDefault="00717FEE" w:rsidP="007C1F8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How Anchoring Affects Art Auctions</w:t>
      </w:r>
    </w:p>
    <w:p w:rsidR="007C1F8B" w:rsidRPr="005B52E1" w:rsidRDefault="007C1F8B" w:rsidP="007C1F8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717FEE"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Anchoring &amp; Art Auctions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Contribution of This Research</w:t>
      </w:r>
    </w:p>
    <w:p w:rsidR="002E0CCB" w:rsidRPr="005B52E1" w:rsidRDefault="002E0CCB" w:rsidP="002E0CCB">
      <w:pPr>
        <w:pStyle w:val="ListParagraph"/>
        <w:tabs>
          <w:tab w:val="left" w:pos="9000"/>
        </w:tabs>
        <w:spacing w:line="240" w:lineRule="auto"/>
        <w:ind w:left="1440" w:firstLine="0"/>
        <w:rPr>
          <w:rFonts w:ascii="Baskerville Old Face" w:hAnsi="Baskerville Old Face"/>
        </w:rPr>
      </w:pPr>
    </w:p>
    <w:p w:rsidR="009F03B6" w:rsidRDefault="009F03B6"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DATA</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Impressionist Art (1980-1991)</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Contemporary Art (1982-1994)</w:t>
      </w:r>
      <w:r w:rsidR="00BC374B">
        <w:rPr>
          <w:rFonts w:ascii="Baskerville Old Face" w:hAnsi="Baskerville Old Face"/>
        </w:rPr>
        <w:br/>
      </w:r>
    </w:p>
    <w:p w:rsidR="00537859" w:rsidRDefault="005D3D05"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Assorted Art (2006-2015)</w:t>
      </w:r>
    </w:p>
    <w:p w:rsidR="002E0CCB"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580A0C">
      <w:pPr>
        <w:pStyle w:val="ListParagraph"/>
        <w:numPr>
          <w:ilvl w:val="0"/>
          <w:numId w:val="1"/>
        </w:numPr>
        <w:tabs>
          <w:tab w:val="left" w:pos="9000"/>
        </w:tabs>
        <w:spacing w:line="480" w:lineRule="auto"/>
        <w:rPr>
          <w:rFonts w:ascii="Baskerville Old Face" w:hAnsi="Baskerville Old Face"/>
        </w:rPr>
      </w:pPr>
      <w:r w:rsidRPr="009F03B6">
        <w:rPr>
          <w:rFonts w:ascii="Baskerville Old Face" w:hAnsi="Baskerville Old Face"/>
        </w:rPr>
        <w:t>METHODOLOGY</w:t>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Identifying Substitutes</w:t>
      </w:r>
    </w:p>
    <w:p w:rsidR="00BC374B" w:rsidRDefault="00BC374B" w:rsidP="00BC374B">
      <w:pPr>
        <w:pStyle w:val="ListParagraph"/>
        <w:tabs>
          <w:tab w:val="left" w:pos="9000"/>
        </w:tabs>
        <w:spacing w:line="240" w:lineRule="auto"/>
        <w:ind w:left="1440" w:firstLine="0"/>
        <w:rPr>
          <w:rFonts w:ascii="Baskerville Old Face" w:hAnsi="Baskerville Old Face"/>
        </w:rPr>
      </w:pP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Detecting Anchoring Across Substitutes</w:t>
      </w:r>
      <w:r w:rsidR="00BC374B">
        <w:rPr>
          <w:rFonts w:ascii="Baskerville Old Face" w:hAnsi="Baskerville Old Face"/>
        </w:rPr>
        <w:br/>
      </w:r>
    </w:p>
    <w:p w:rsidR="00537859" w:rsidRDefault="00537859"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Measuring Substitution Across Art Pieces</w:t>
      </w:r>
      <w:r w:rsidR="00BC374B">
        <w:rPr>
          <w:rFonts w:ascii="Baskerville Old Face" w:hAnsi="Baskerville Old Face"/>
        </w:rPr>
        <w:br/>
      </w:r>
    </w:p>
    <w:p w:rsidR="00537859" w:rsidRDefault="00537859"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BC374B">
        <w:rPr>
          <w:rFonts w:ascii="Baskerville Old Face" w:hAnsi="Baskerville Old Face"/>
        </w:rPr>
        <w:br/>
      </w:r>
    </w:p>
    <w:p w:rsidR="00537859"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Measure #2: Domain Knowledge of Similarity</w:t>
      </w:r>
    </w:p>
    <w:p w:rsidR="002E0CCB" w:rsidRPr="009F03B6" w:rsidRDefault="002E0CCB" w:rsidP="002E0CCB">
      <w:pPr>
        <w:pStyle w:val="ListParagraph"/>
        <w:tabs>
          <w:tab w:val="left" w:pos="9000"/>
        </w:tabs>
        <w:spacing w:line="240" w:lineRule="auto"/>
        <w:ind w:left="1440" w:firstLine="0"/>
        <w:rPr>
          <w:rFonts w:ascii="Baskerville Old Face" w:hAnsi="Baskerville Old Face"/>
        </w:rPr>
      </w:pP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Hedonic Regressions</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Replicating Beggs &amp; Graddy (2009)</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D06540">
        <w:rPr>
          <w:rFonts w:ascii="Baskerville Old Face" w:hAnsi="Baskerville Old Face"/>
        </w:rPr>
        <w:t>&amp;</w:t>
      </w:r>
      <w:r>
        <w:rPr>
          <w:rFonts w:ascii="Baskerville Old Face" w:hAnsi="Baskerville Old Face"/>
        </w:rPr>
        <w:t xml:space="preserve"> Assorted Art</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Q1: Second Moment of Hedonic Price Differences</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Q2: Domain Knowledge of Similarity</w:t>
      </w:r>
      <w:r w:rsidR="00BC374B">
        <w:rPr>
          <w:rFonts w:ascii="Baskerville Old Face" w:hAnsi="Baskerville Old Face"/>
        </w:rPr>
        <w:br/>
      </w:r>
    </w:p>
    <w:p w:rsidR="007C1F8B" w:rsidRDefault="007C1F8B" w:rsidP="002E0CCB">
      <w:pPr>
        <w:pStyle w:val="ListParagraph"/>
        <w:numPr>
          <w:ilvl w:val="1"/>
          <w:numId w:val="1"/>
        </w:numPr>
        <w:tabs>
          <w:tab w:val="left" w:pos="9000"/>
        </w:tabs>
        <w:spacing w:line="240" w:lineRule="auto"/>
        <w:rPr>
          <w:rFonts w:ascii="Baskerville Old Face" w:hAnsi="Baskerville Old Face"/>
        </w:rPr>
      </w:pPr>
      <w:r>
        <w:rPr>
          <w:rFonts w:ascii="Baskerville Old Face" w:hAnsi="Baskerville Old Face"/>
        </w:rPr>
        <w:t>Three Experiments</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#1: </w:t>
      </w:r>
      <w:r>
        <w:rPr>
          <w:rFonts w:ascii="Baskerville Old Face" w:hAnsi="Baskerville Old Face"/>
        </w:rPr>
        <w:br/>
        <w:t>Joan Miro (1893-1983) &amp; Salvador Dali (1904-1989)</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#2: </w:t>
      </w:r>
      <w:r>
        <w:rPr>
          <w:rFonts w:ascii="Baskerville Old Face" w:hAnsi="Baskerville Old Face"/>
        </w:rPr>
        <w:br/>
        <w:t>Pablo Picasso (1881-1973) &amp; Marc Chagall (1887-1985)</w:t>
      </w:r>
      <w:r w:rsidR="00BC374B">
        <w:rPr>
          <w:rFonts w:ascii="Baskerville Old Face" w:hAnsi="Baskerville Old Face"/>
        </w:rPr>
        <w:br/>
      </w:r>
    </w:p>
    <w:p w:rsidR="007C1F8B" w:rsidRDefault="007C1F8B" w:rsidP="002E0CCB">
      <w:pPr>
        <w:pStyle w:val="ListParagraph"/>
        <w:numPr>
          <w:ilvl w:val="2"/>
          <w:numId w:val="1"/>
        </w:numPr>
        <w:tabs>
          <w:tab w:val="left" w:pos="9000"/>
        </w:tabs>
        <w:spacing w:line="240" w:lineRule="auto"/>
        <w:rPr>
          <w:rFonts w:ascii="Baskerville Old Face" w:hAnsi="Baskerville Old Face"/>
        </w:rPr>
      </w:pPr>
      <w:r>
        <w:rPr>
          <w:rFonts w:ascii="Baskerville Old Face" w:hAnsi="Baskerville Old Face"/>
        </w:rPr>
        <w:t xml:space="preserve">Substitution Experiment #3: </w:t>
      </w:r>
      <w:r>
        <w:rPr>
          <w:rFonts w:ascii="Baskerville Old Face" w:hAnsi="Baskerville Old Face"/>
        </w:rPr>
        <w:br/>
        <w:t>Edvard Munch (1863-1944) &amp; Henri de Toulouse-Lautrec (1864-1901)</w:t>
      </w:r>
    </w:p>
    <w:p w:rsidR="002E0CCB" w:rsidRPr="005B52E1" w:rsidRDefault="002E0CCB" w:rsidP="002E0CCB">
      <w:pPr>
        <w:pStyle w:val="ListParagraph"/>
        <w:tabs>
          <w:tab w:val="left" w:pos="9000"/>
        </w:tabs>
        <w:spacing w:line="240" w:lineRule="auto"/>
        <w:ind w:left="2160" w:firstLine="0"/>
        <w:rPr>
          <w:rFonts w:ascii="Baskerville Old Face" w:hAnsi="Baskerville Old Face"/>
        </w:rPr>
      </w:pPr>
    </w:p>
    <w:p w:rsidR="00E316CA" w:rsidRPr="005B52E1" w:rsidRDefault="00B554BC"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F93A4D" w:rsidRDefault="00E316CA" w:rsidP="003376D2">
      <w:pPr>
        <w:spacing w:line="480" w:lineRule="auto"/>
        <w:rPr>
          <w:rFonts w:ascii="Baskerville Old Face" w:hAnsi="Baskerville Old Face"/>
        </w:rPr>
        <w:sectPr w:rsidR="00F93A4D">
          <w:pgSz w:w="12240" w:h="15840"/>
          <w:pgMar w:top="1440" w:right="1440" w:bottom="1440" w:left="1440" w:header="720" w:footer="720" w:gutter="0"/>
          <w:cols w:space="720"/>
          <w:docGrid w:linePitch="360"/>
        </w:sectPr>
      </w:pPr>
      <w:r w:rsidRPr="005B52E1">
        <w:rPr>
          <w:rFonts w:ascii="Baskerville Old Face" w:hAnsi="Baskerville Old Face"/>
        </w:rPr>
        <w:br w:type="page"/>
      </w: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Tversky &amp; Kahneman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Beggs &amp; Graddy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2"/>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Of course, the ways in which auction participants internalize and act upon past price cannot be inferred from just observing prices. Hence in our research and in much of the literature, including Beggs &amp; Graddy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Using a regression model that carefully separates out anchoring, Beggs &amp; Graddy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Beggs &amp; Graddy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lastRenderedPageBreak/>
        <w:t>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Beggs &amp; Graddy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Beggs &amp; Graddy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Joan Miro &amp; Salvador Dali, Pablo Picasso &amp; Marc Chagall, and Edvard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w:t>
      </w:r>
      <w:r w:rsidRPr="005B52E1">
        <w:rPr>
          <w:rFonts w:ascii="Baskerville Old Face" w:hAnsi="Baskerville Old Face"/>
        </w:rPr>
        <w:lastRenderedPageBreak/>
        <w:t xml:space="preserve">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r w:rsidR="004E1EC2">
        <w:rPr>
          <w:rFonts w:ascii="Baskerville Old Face" w:hAnsi="Baskerville Old Face"/>
        </w:rPr>
        <w:t>Blouin Art Sales Index)</w:t>
      </w:r>
      <w:r w:rsidRPr="005B52E1">
        <w:rPr>
          <w:rFonts w:ascii="Baskerville Old Face" w:hAnsi="Baskerville Old Face"/>
        </w:rPr>
        <w:t>.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Beggs &amp; Graddy’s original anchoring model may be successfully customized. For auction houses and professionals, our work provides a practical regression model for estimating an artwork’s price in light of related sales. Beggs &amp; Graddy’s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McAlvanah &amp; Moul 2013)</w:t>
      </w:r>
      <w:r w:rsidRPr="005B52E1">
        <w:rPr>
          <w:rFonts w:ascii="Baskerville Old Face" w:hAnsi="Baskerville Old Face"/>
        </w:rPr>
        <w:t xml:space="preserve">. Our approach is more general than </w:t>
      </w:r>
      <w:r w:rsidR="00C85DD6">
        <w:rPr>
          <w:rFonts w:ascii="Baskerville Old Face" w:hAnsi="Baskerville Old Face"/>
        </w:rPr>
        <w:t>Beggs &amp; Graddy’s</w:t>
      </w:r>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w:t>
      </w:r>
      <w:r w:rsidRPr="005B52E1">
        <w:rPr>
          <w:rFonts w:ascii="Baskerville Old Face" w:hAnsi="Baskerville Old Face"/>
        </w:rPr>
        <w:lastRenderedPageBreak/>
        <w:t>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Beggs &amp; Graddy,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 regressions of Beggs &amp; Graddy (2009), 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Beggs &amp; Graddy, followed by 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OVERVIEW OF ART AUCTIONS</w:t>
      </w:r>
      <w:r w:rsidR="00717FEE" w:rsidRPr="00D06540">
        <w:rPr>
          <w:rFonts w:ascii="Baskerville Old Face" w:hAnsi="Baskerville Old Face"/>
          <w:b/>
          <w:sz w:val="36"/>
        </w:rPr>
        <w:t xml:space="preserve"> </w:t>
      </w:r>
      <w:r w:rsidR="00D06540" w:rsidRPr="00D06540">
        <w:rPr>
          <w:rFonts w:ascii="Baskerville Old Face" w:hAnsi="Baskerville Old Face"/>
          <w:b/>
          <w:sz w:val="36"/>
        </w:rPr>
        <w:t>&amp;</w:t>
      </w:r>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Baker &amp; Kazakina</w:t>
      </w:r>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(Reyburn 2015)</w:t>
      </w:r>
      <w:r w:rsidRPr="009C323E">
        <w:rPr>
          <w:rFonts w:ascii="Baskerville Old Face" w:hAnsi="Baskerville Old Face"/>
        </w:rPr>
        <w:t xml:space="preserve">. That said, both houses have enjoyed their share of record-breaking auctions: Picassso’s </w:t>
      </w:r>
      <w:r w:rsidRPr="009C323E">
        <w:rPr>
          <w:rFonts w:ascii="Baskerville Old Face" w:hAnsi="Baskerville Old Face"/>
          <w:i/>
        </w:rPr>
        <w:t>Les Femmes d’Alger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0031546B">
        <w:rPr>
          <w:rFonts w:ascii="Baskerville Old Face" w:hAnsi="Baskerville Old Face"/>
        </w:rPr>
        <w:t xml:space="preserve"> (Rohleder 2001)</w:t>
      </w:r>
      <w:r w:rsidRPr="009C323E">
        <w:rPr>
          <w:rFonts w:ascii="Baskerville Old Face" w:hAnsi="Baskerville Old Face"/>
        </w:rPr>
        <w:t>. For classic automobiles, go to Sotheby’s or Bonham’s</w:t>
      </w:r>
      <w:r w:rsidR="00AD1892">
        <w:rPr>
          <w:rFonts w:ascii="Baskerville Old Face" w:hAnsi="Baskerville Old Face"/>
        </w:rPr>
        <w:t xml:space="preserve"> (Reyburn 2015)</w:t>
      </w:r>
      <w:r w:rsidRPr="009C323E">
        <w:rPr>
          <w:rFonts w:ascii="Baskerville Old Face" w:hAnsi="Baskerville Old Face"/>
        </w:rPr>
        <w:t xml:space="preserve">. Specialization is not limited to product selection, either. According to Raphaelle Benabou, Bonham’s (as a smaller house) appeals to many </w:t>
      </w:r>
      <w:r w:rsidRPr="009C323E">
        <w:rPr>
          <w:rFonts w:ascii="Baskerville Old Face" w:hAnsi="Baskerville Old Face"/>
        </w:rPr>
        <w:lastRenderedPageBreak/>
        <w:t>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Kazakina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r w:rsidR="000B31A7">
        <w:rPr>
          <w:rFonts w:ascii="Baskerville Old Face" w:hAnsi="Baskerville Old Face"/>
        </w:rPr>
        <w:t>n.d.)</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Ashenfelter (1989), these estimates do generally seem to accurately predict sale price. Some cross-house differences may exist: Bauwens and Ginsburgh (2000), for instance, show that in certain art categories, Sotheby’s tends to undervalue expensive pieces and overvalue inexpensive ones (while Christie’s does the opposite).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Ashen</w:t>
      </w:r>
      <w:r w:rsidR="00BB4113">
        <w:rPr>
          <w:rFonts w:ascii="Baskerville Old Face" w:hAnsi="Baskerville Old Face"/>
        </w:rPr>
        <w:t>felter, Graddy and Stevens (2002</w:t>
      </w:r>
      <w:r w:rsidRPr="009C323E">
        <w:rPr>
          <w:rFonts w:ascii="Baskerville Old Face" w:hAnsi="Baskerville Old Face"/>
        </w:rPr>
        <w:t xml:space="preserve">), the reserve price may be set around 70-80% of the low estimate. It is unclear why the reserve is </w:t>
      </w:r>
      <w:r w:rsidRPr="009C323E">
        <w:rPr>
          <w:rFonts w:ascii="Baskerville Old Face" w:hAnsi="Baskerville Old Face"/>
        </w:rPr>
        <w:lastRenderedPageBreak/>
        <w:t xml:space="preserve">concealed, but Vincent (1995) suggests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(Ashenfelter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(Ashenfelter &amp; Graddy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10% of the hammer price</w:t>
      </w:r>
      <w:r w:rsidR="00AB56F2">
        <w:rPr>
          <w:rFonts w:ascii="Baskerville Old Face" w:hAnsi="Baskerville Old Face"/>
        </w:rPr>
        <w:t xml:space="preserve"> (“Selling at Christie’s” n.d.; Ashenfelter &amp; Graddy 2003)</w:t>
      </w:r>
      <w:r w:rsidRPr="009C323E">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w:t>
      </w:r>
      <w:r w:rsidRPr="009C323E">
        <w:rPr>
          <w:rFonts w:ascii="Baskerville Old Face" w:hAnsi="Baskerville Old Face"/>
        </w:rPr>
        <w:lastRenderedPageBreak/>
        <w:t>information. And, according to Ashenfelter &amp; Graddy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(Gleadell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00AB56F2">
        <w:rPr>
          <w:rFonts w:ascii="Baskerville Old Face" w:hAnsi="Baskerville Old Face"/>
        </w:rPr>
        <w:t xml:space="preserve"> (Tversky &amp; Kahneman 1974; Sugden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Beggs &amp; Graddy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w:t>
      </w:r>
      <w:r w:rsidRPr="009C323E">
        <w:rPr>
          <w:rFonts w:ascii="Baskerville Old Face" w:eastAsiaTheme="minorEastAsia" w:hAnsi="Baskerville Old Face"/>
        </w:rPr>
        <w:lastRenderedPageBreak/>
        <w:t xml:space="preserve">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(Graddy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(Northcraft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finds that anchoring is more powerful for sellers than for buyers, but weakens with increased seller experience</w:t>
      </w:r>
      <w:r w:rsidR="00E033D0">
        <w:rPr>
          <w:rFonts w:ascii="Baskerville Old Face" w:hAnsi="Baskerville Old Face"/>
        </w:rPr>
        <w:t xml:space="preserve"> (Sugden et al. 2013; Alevy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r w:rsidR="00E033D0">
        <w:rPr>
          <w:rFonts w:ascii="Baskerville Old Face" w:hAnsi="Baskerville Old Face"/>
        </w:rPr>
        <w:t xml:space="preserve">Brandly (2015) </w:t>
      </w:r>
      <w:r w:rsidRPr="009C323E">
        <w:rPr>
          <w:rFonts w:ascii="Baskerville Old Face" w:hAnsi="Baskerville Old Face"/>
        </w:rPr>
        <w:t xml:space="preserve">warns against setting anchors too high (to drive up future bids) or too low (to attract starting bids).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w:t>
      </w:r>
      <w:r w:rsidRPr="009C323E">
        <w:rPr>
          <w:rFonts w:ascii="Baskerville Old Face" w:hAnsi="Baskerville Old Face"/>
        </w:rPr>
        <w:lastRenderedPageBreak/>
        <w:t>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Furnham &amp; Boo (2011).</w:t>
      </w:r>
      <w:r w:rsidRPr="005B52E1">
        <w:rPr>
          <w:rFonts w:ascii="Baskerville Old Face" w:hAnsi="Baskerville Old Face"/>
        </w:rPr>
        <w:t xml:space="preserve"> The seminal work on anchoring was first authored by Tversky &amp; Kahneman (1974), </w:t>
      </w:r>
      <w:r w:rsidR="00D21CD7">
        <w:rPr>
          <w:rFonts w:ascii="Baskerville Old Face" w:hAnsi="Baskerville Old Face"/>
        </w:rPr>
        <w:t xml:space="preserve">who conducted experiments such as the one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gave participants a random number between 0 and 100. </w:t>
      </w:r>
      <w:r w:rsidR="001746B1">
        <w:rPr>
          <w:rFonts w:ascii="Baskerville Old Face" w:hAnsi="Baskerville Old Face"/>
        </w:rPr>
        <w:t>Then, the participants were asked to estimate the percentage of African countries in the United Nations. Tversky &amp; Kahneman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for quantitative judgment, even if that first impression was entirely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(Strack &amp; Mussweiler)</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(Rajendran &amp; Tellis 1994; Greenleaf 1995; Bokhari &amp; Geltner 2011; Dougal et al. 2012)</w:t>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005A4B4F">
        <w:rPr>
          <w:rFonts w:ascii="Baskerville Old Face" w:hAnsi="Baskerville Old Face"/>
        </w:rPr>
        <w:t xml:space="preserve"> (Frykblom &amp; Shogren </w:t>
      </w:r>
      <w:r w:rsidR="005A4B4F">
        <w:rPr>
          <w:rFonts w:ascii="Baskerville Old Face" w:hAnsi="Baskerville Old Face"/>
        </w:rPr>
        <w:lastRenderedPageBreak/>
        <w:t>2000; Winter 2002; Flachaire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Uecker 1982; Bucchianeri &amp; Minson 2013; Mussweiler 2001; Green et al. 1998</w:t>
      </w:r>
      <w:r w:rsidR="003A42C8">
        <w:rPr>
          <w:rFonts w:ascii="Baskerville Old Face" w:hAnsi="Baskerville Old Face"/>
        </w:rPr>
        <w:t>; Nianhang &amp; Shinong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(Lucking-Reiley et al. 2007; Ku et al. 2006)</w:t>
      </w:r>
      <w:r w:rsidRPr="005B52E1">
        <w:rPr>
          <w:rFonts w:ascii="Baskerville Old Face" w:hAnsi="Baskerville Old Face"/>
        </w:rPr>
        <w:t>. For example, one bizarre experiment was conducted by Ariely</w:t>
      </w:r>
      <w:r w:rsidR="005A4B4F">
        <w:rPr>
          <w:rFonts w:ascii="Baskerville Old Face" w:hAnsi="Baskerville Old Face"/>
        </w:rPr>
        <w:t xml:space="preserve"> &amp; Prelec</w:t>
      </w:r>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Wolk and Spann (2008) study bidding for online auctions in the presence of an anchor.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Beggs &amp; Graddy (2005) is the first to examine anchoring effects (i.e. “reference dependence”) in the art auction market. This paper is described as a working paper for Beggs &amp; Graddy (2009). To identify anchoring, they examine resales within two datasets of Impressionist and Contemporary paintings, which contain not only hammer price but also hedonic characteristics such as artist and medium. Both the Impressionist and Contemporary </w:t>
      </w:r>
      <w:r w:rsidRPr="005B52E1">
        <w:rPr>
          <w:rFonts w:ascii="Baskerville Old Face" w:hAnsi="Baskerville Old Face"/>
        </w:rPr>
        <w:lastRenderedPageBreak/>
        <w:t>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Beggs &amp; Graddy (2005) detects anchoring by first controlling for hedonic value and non-hedonic biases on price, then testing for the impact of past price on current price. This model is formalized in Beggs &amp; Graddy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Beggs &amp; Graddy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Beggs &amp; Graddy do not find anchoring significantly affects the probability of sale. The anchoring models developed by Beggs &amp; Graddy (2009) have been used in later anchoring research such as Leung et. al (2013), and forms the basis of our own approach. We attempt to replicate selected results</w:t>
      </w:r>
      <w:r w:rsidR="00D64225">
        <w:rPr>
          <w:rFonts w:ascii="Baskerville Old Face" w:hAnsi="Baskerville Old Face"/>
        </w:rPr>
        <w:t xml:space="preserve"> from Beggs &amp; Graddy (2009) in Section 6</w:t>
      </w:r>
      <w:r w:rsidRPr="005B52E1">
        <w:rPr>
          <w:rFonts w:ascii="Baskerville Old Face" w:hAnsi="Baskerville Old Face"/>
        </w:rPr>
        <w:t>. Beggs &amp; Graddy believe anchoring effects on the sale price may primarily be attributed to the buyers, since buyers primarily determine price, but beyond that treat anchoring as a black box. Graddy et al. (2014) use more data and mostly corroborate the anchoring results of Beggs &amp; Graddy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Bruno &amp; Nocera (2008) study how anchoring affects presale estimates using a unique dataset of nearly 1,000 Italian paintings that have been sold at least twice (1985-2006). They regress the range of presale estimates on a multi-level dummy variable for anchoring to account for multiple </w:t>
      </w:r>
      <w:r w:rsidRPr="005B52E1">
        <w:rPr>
          <w:rFonts w:ascii="Baskerville Old Face" w:hAnsi="Baskerville Old Face"/>
        </w:rPr>
        <w:lastRenderedPageBreak/>
        <w:t>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Nocera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spring and fall across New York City,</w:t>
      </w:r>
      <w:r w:rsidR="00690171" w:rsidRPr="00690171">
        <w:rPr>
          <w:rStyle w:val="FootnoteReference"/>
          <w:rFonts w:ascii="Baskerville Old Face" w:hAnsi="Baskerville Old Face"/>
        </w:rPr>
        <w:t xml:space="preserve"> </w:t>
      </w:r>
      <w:r w:rsidR="00690171" w:rsidRPr="005B52E1">
        <w:rPr>
          <w:rStyle w:val="FootnoteReference"/>
          <w:rFonts w:ascii="Baskerville Old Face" w:hAnsi="Baskerville Old Face"/>
        </w:rPr>
        <w:footnoteReference w:id="10"/>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Beggs &amp; Graddy (2009), Hong et al. find that average 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Other behavioral research on art auctions exists, though much of it is more tangential to anchoring. In the art trade, there is the belief that if an art piece goes unsold at auction, it becomes “burned” and will sell for less in the future. To test this quantitatively, Beggs &amp; Graddy (2008) use an even smaller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r w:rsidR="00DC7F74" w:rsidRPr="00DC7F74">
        <w:rPr>
          <w:rFonts w:ascii="Baskerville Old Face" w:hAnsi="Baskerville Old Face"/>
        </w:rPr>
        <w:t xml:space="preserve">Cerdá </w:t>
      </w:r>
      <w:r w:rsidRPr="005B52E1">
        <w:rPr>
          <w:rFonts w:ascii="Baskerville Old Face" w:hAnsi="Baskerville Old Face"/>
        </w:rPr>
        <w:t>(2012) analyze art auctions and seller reputations on eBay, and discover that negative feedback significantly lowers sale price and the probability of sale. Penasse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Beggs &amp; Graddy (2009) acknowledge, it is extremely uncommon to </w:t>
      </w:r>
      <w:r w:rsidRPr="005B52E1">
        <w:rPr>
          <w:rFonts w:ascii="Baskerville Old Face" w:hAnsi="Baskerville Old Face"/>
        </w:rPr>
        <w:lastRenderedPageBreak/>
        <w:t>encounter multiple sales of the same artwork. This is further limited by large time gaps between sales, which weaken anchoring effects</w:t>
      </w:r>
      <w:r w:rsidR="009643FC">
        <w:rPr>
          <w:rFonts w:ascii="Baskerville Old Face" w:hAnsi="Baskerville Old Face"/>
        </w:rPr>
        <w:t xml:space="preserve"> (Graddy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Beggs &amp; Graddy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Beggs &amp; Graddy (2009) find stronger 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(Beggs &amp; Graddy 2009; see Table 1 and 2)</w:t>
      </w:r>
      <w:r w:rsidRPr="005B52E1">
        <w:rPr>
          <w:rFonts w:ascii="Baskerville Old Face" w:hAnsi="Baskerville Old Face"/>
        </w:rPr>
        <w:t>. Thus, they are probably far better maintained, which better preserves their hedonic quality, allowing past sales to better anchor future ones.</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allows us to generalize the anchoring work of Beggs &amp; Graddy (2009) beyond resales of the same good to sales of related (substitute) goods. In all previous literature we are aware of, the anchor is always a previous sale of the same good. However, if we control adequately for quality changes between the anchor </w:t>
      </w:r>
      <w:r w:rsidRPr="005B52E1">
        <w:rPr>
          <w:rFonts w:ascii="Baskerville Old Face" w:hAnsi="Baskerville Old Face"/>
        </w:rPr>
        <w:lastRenderedPageBreak/>
        <w:t>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recent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Beggs &amp; Graddy 1997; Ashenfelter &amp; Graddy 2003; Beggs &amp; Graddy 2009)</w:t>
      </w:r>
      <w:r w:rsidR="00D105E8" w:rsidRPr="005B52E1">
        <w:rPr>
          <w:rFonts w:ascii="Baskerville Old Face" w:hAnsi="Baskerville Old Face"/>
        </w:rPr>
        <w:t>. Both of those datasets are available on the Brandeis academic website of Kathryn Graddy</w:t>
      </w:r>
      <w:r w:rsidR="00312552">
        <w:rPr>
          <w:rFonts w:ascii="Baskerville Old Face" w:hAnsi="Baskerville Old Face"/>
        </w:rPr>
        <w:t>.</w:t>
      </w:r>
      <w:r w:rsidR="00D105E8" w:rsidRPr="005B52E1">
        <w:rPr>
          <w:rStyle w:val="FootnoteReference"/>
          <w:rFonts w:ascii="Baskerville Old Face" w:hAnsi="Baskerville Old Face"/>
        </w:rPr>
        <w:footnoteReference w:id="11"/>
      </w:r>
      <w:r w:rsidR="00D105E8"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thesis of Andrew Richardson under the guidance of </w:t>
      </w:r>
      <w:r w:rsidRPr="005B52E1">
        <w:rPr>
          <w:rFonts w:ascii="Baskerville Old Face" w:hAnsi="Baskerville Old Face"/>
        </w:rPr>
        <w:t>Orley Ashenfelter</w:t>
      </w:r>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w:t>
      </w:r>
      <w:r w:rsidRPr="005B52E1">
        <w:rPr>
          <w:rFonts w:ascii="Baskerville Old Face" w:hAnsi="Baskerville Old Face"/>
        </w:rPr>
        <w:lastRenderedPageBreak/>
        <w:t xml:space="preserve">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Gachet </w:t>
      </w:r>
      <w:r w:rsidRPr="005B52E1">
        <w:rPr>
          <w:rFonts w:ascii="Baskerville Old Face" w:hAnsi="Baskerville Old Face"/>
        </w:rPr>
        <w:t xml:space="preserve">(1890), which netted approximately $82.5 million on May 15, 1990. Conversely, the lowest sale is a work by Paul Cesar Helleu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(Beggs &amp; Graddy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w:t>
      </w:r>
      <w:r w:rsidRPr="005B52E1">
        <w:rPr>
          <w:rFonts w:ascii="Baskerville Old Face" w:hAnsi="Baskerville Old Face"/>
        </w:rPr>
        <w:lastRenderedPageBreak/>
        <w:t xml:space="preserve">STATA .do file, which gives more detailed information on the attributes. </w:t>
      </w:r>
      <w:r w:rsidR="00FD26FB">
        <w:rPr>
          <w:rFonts w:ascii="Baskerville Old Face" w:hAnsi="Baskerville Old Face"/>
        </w:rPr>
        <w:t xml:space="preserve">Roughly 22.5% of observations in this dataset are bought in.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To do this, we wrote a Python program to scrape recent listings on the Blouin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(Blouin Art Sales Index). </w:t>
      </w:r>
      <w:r w:rsidR="00B22BEA">
        <w:rPr>
          <w:rFonts w:ascii="Baskerville Old Face" w:hAnsi="Baskerville Old Face"/>
        </w:rPr>
        <w:t xml:space="preserve">The Blouin Art Sales Index was suggested to us by Bobray Bordelon, a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us to identify more substitutes, and better </w:t>
      </w:r>
      <w:r w:rsidRPr="005B52E1">
        <w:rPr>
          <w:rFonts w:ascii="Baskerville Old Face" w:hAnsi="Baskerville Old Face"/>
        </w:rPr>
        <w:lastRenderedPageBreak/>
        <w:t xml:space="preserve">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Yuanji.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p-val: &lt;2E-16),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Blouin.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730FFB" w:rsidRDefault="00D7092B" w:rsidP="006014AE">
      <w:pPr>
        <w:spacing w:line="480" w:lineRule="auto"/>
        <w:ind w:firstLine="0"/>
        <w:rPr>
          <w:rFonts w:ascii="Baskerville Old Face" w:hAnsi="Baskerville Old Face"/>
          <w:sz w:val="36"/>
        </w:rPr>
      </w:pPr>
      <w:r w:rsidRPr="00730FFB">
        <w:rPr>
          <w:rFonts w:ascii="Baskerville Old Face" w:hAnsi="Baskerville Old Face"/>
          <w:b/>
          <w:sz w:val="36"/>
        </w:rPr>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Beggs &amp; Graddy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Costanigro et al. 2007</w:t>
      </w:r>
      <w:r w:rsidR="00341500">
        <w:rPr>
          <w:rFonts w:ascii="Baskerville Old Face" w:hAnsi="Baskerville Old Face"/>
        </w:rPr>
        <w:t>)</w:t>
      </w:r>
      <w:r w:rsidRPr="005B52E1">
        <w:rPr>
          <w:rFonts w:ascii="Baskerville Old Face" w:hAnsi="Baskerville Old Face"/>
        </w:rP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12"/>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13"/>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w:t>
      </w:r>
      <w:r w:rsidRPr="005B52E1">
        <w:rPr>
          <w:rFonts w:ascii="Baskerville Old Face" w:eastAsiaTheme="minorEastAsia" w:hAnsi="Baskerville Old Face"/>
        </w:rPr>
        <w:lastRenderedPageBreak/>
        <w:t>painting sale.</w:t>
      </w:r>
      <w:r w:rsidRPr="005B52E1">
        <w:rPr>
          <w:rFonts w:ascii="Baskerville Old Face" w:hAnsi="Baskerville Old Face"/>
        </w:rPr>
        <w:t xml:space="preserve"> The resulting equation, which both Beggs &amp; Graddy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use the same hedonic variables that Beggs &amp; Graddy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4"/>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Beggs &amp; Graddy, we </w:t>
      </w:r>
      <w:r w:rsidRPr="005B52E1">
        <w:rPr>
          <w:rFonts w:ascii="Baskerville Old Face" w:hAnsi="Baskerville Old Face"/>
        </w:rPr>
        <w:t>use the natural log of prices and hedonic price predictions, which allows us to interpret the regression results as relative effects (percent changes). For unsold items, we proxy value with 80% of the low estimate as they do</w:t>
      </w:r>
      <w:r w:rsidR="004E653D">
        <w:rPr>
          <w:rFonts w:ascii="Baskerville Old Face" w:hAnsi="Baskerville Old Face"/>
        </w:rPr>
        <w:t xml:space="preserve"> (see Section 4</w:t>
      </w:r>
      <w:r w:rsidR="00DB56A1">
        <w:rPr>
          <w:rFonts w:ascii="Baskerville Old Face" w:hAnsi="Baskerville Old Face"/>
        </w:rPr>
        <w:t>)</w:t>
      </w:r>
      <w:r w:rsidRPr="005B52E1">
        <w:rPr>
          <w:rFonts w:ascii="Baskerville Old Face" w:hAnsi="Baskerville Old Face"/>
        </w:rPr>
        <w:t xml:space="preserve">.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Beggs &amp; Graddy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w:lastRenderedPageBreak/>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is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is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identifies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9C09F6"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is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15"/>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Beggs &amp; Graddy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It is reasonable to believe that buyers, when bidding on an artwork, make judgments based not only on that piece’s past sales, but also what similar pieces went for. This allows for more versatile 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Measuring Substitution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w:t>
      </w:r>
      <w:r w:rsidRPr="005B52E1">
        <w:rPr>
          <w:rFonts w:ascii="Baskerville Old Face" w:eastAsiaTheme="minorEastAsia" w:hAnsi="Baskerville Old Face"/>
        </w:rPr>
        <w:lastRenderedPageBreak/>
        <w:t>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w:t>
      </w:r>
      <w:r w:rsidRPr="005B52E1">
        <w:rPr>
          <w:rFonts w:ascii="Baskerville Old Face" w:eastAsiaTheme="minorEastAsia" w:hAnsi="Baskerville Old Face"/>
        </w:rPr>
        <w:lastRenderedPageBreak/>
        <w:t>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9C09F6"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730FFB" w:rsidRDefault="00772EA4" w:rsidP="00D24BA6">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p>
    <w:p w:rsidR="00E07099" w:rsidRPr="005B52E1" w:rsidRDefault="00E07099" w:rsidP="00772EA4">
      <w:pPr>
        <w:spacing w:line="480" w:lineRule="auto"/>
        <w:ind w:firstLine="0"/>
        <w:rPr>
          <w:rFonts w:ascii="Baskerville Old Face" w:hAnsi="Baskerville Old Face"/>
          <w:b/>
          <w:sz w:val="32"/>
        </w:rPr>
      </w:pP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the original anchoring findings of Beggs &amp; Graddy</w:t>
      </w:r>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asets. As a final experiment</w:t>
      </w:r>
      <w:r w:rsidR="00F87EE1">
        <w:rPr>
          <w:rFonts w:ascii="Baskerville Old Face" w:eastAsiaTheme="minorEastAsia" w:hAnsi="Baskerville Old Face"/>
        </w:rPr>
        <w:t xml:space="preserve"> to ensure the robustness of our model</w:t>
      </w:r>
      <w:r w:rsidR="00E47230">
        <w:rPr>
          <w:rFonts w:ascii="Baskerville Old Face" w:eastAsiaTheme="minorEastAsia" w:hAnsi="Baskerville Old Face"/>
        </w:rPr>
        <w:t xml:space="preserve">,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Beggs &amp; Graddy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separate hedonic regressions for Impressionist art depending on whether it was auctioned in NYC or London (due to currency differences). We then recombine the regression results and renormalize</w:t>
      </w:r>
      <w:r w:rsidR="004E7C35">
        <w:rPr>
          <w:rFonts w:ascii="Baskerville Old Face" w:eastAsiaTheme="minorEastAsia" w:hAnsi="Baskerville Old Face"/>
        </w:rPr>
        <w:t xml:space="preserve"> </w:t>
      </w:r>
      <w:r w:rsidR="00430CFB">
        <w:rPr>
          <w:rFonts w:ascii="Baskerville Old Face" w:eastAsiaTheme="minorEastAsia" w:hAnsi="Baskerville Old Face"/>
        </w:rPr>
        <w:t xml:space="preserve">for the </w:t>
      </w:r>
      <w:r w:rsidR="00595D1C">
        <w:rPr>
          <w:rFonts w:ascii="Baskerville Old Face" w:eastAsiaTheme="minorEastAsia" w:hAnsi="Baskerville Old Face"/>
        </w:rPr>
        <w:t xml:space="preserve">currency differences.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w:t>
      </w:r>
      <w:r w:rsidR="00C8590F">
        <w:rPr>
          <w:rFonts w:ascii="Baskerville Old Face" w:eastAsiaTheme="minorEastAsia" w:hAnsi="Baskerville Old Face"/>
        </w:rPr>
        <w:t>we see</w:t>
      </w:r>
      <w:bookmarkStart w:id="0" w:name="_GoBack"/>
      <w:bookmarkEnd w:id="0"/>
      <w:r w:rsidRPr="005B52E1">
        <w:rPr>
          <w:rFonts w:ascii="Baskerville Old Face" w:eastAsiaTheme="minorEastAsia" w:hAnsi="Baskerville Old Face"/>
        </w:rPr>
        <w:t xml:space="preserve"> lower bias, as indicated by our highly significant hedonic variables). The F-statistic is extremely </w:t>
      </w:r>
      <w:r w:rsidRPr="005B52E1">
        <w:rPr>
          <w:rFonts w:ascii="Baskerville Old Face" w:eastAsiaTheme="minorEastAsia" w:hAnsi="Baskerville Old Face"/>
        </w:rPr>
        <w:lastRenderedPageBreak/>
        <w:t>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Replicating Beggs &amp; Graddy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Beggs &amp; Graddy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w:t>
      </w:r>
      <w:r w:rsidRPr="005B52E1">
        <w:rPr>
          <w:rFonts w:ascii="Baskerville Old Face" w:eastAsiaTheme="minorEastAsia" w:hAnsi="Baskerville Old Face"/>
        </w:rPr>
        <w:lastRenderedPageBreak/>
        <w:t xml:space="preserve">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of Beggs &amp; Graddy.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(Beggs &amp; Graddy: 6.2-8.5%), while for Contemporary art the same 10% increase only corresponds to a 1.3% predicted increase in current sale price (Beggs &amp; Graddy: 5%).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w:t>
      </w:r>
      <w:r w:rsidRPr="005B52E1">
        <w:rPr>
          <w:rFonts w:ascii="Baskerville Old Face" w:eastAsiaTheme="minorEastAsia" w:hAnsi="Baskerville Old Face"/>
        </w:rPr>
        <w:lastRenderedPageBreak/>
        <w:t>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addition to Impressionist and Contemporary art, we also ran Beggs &amp; Graddy’s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E07099" w:rsidRDefault="00B56211" w:rsidP="00E07099">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w:t>
      </w:r>
      <w:r w:rsidRPr="005B52E1">
        <w:rPr>
          <w:rFonts w:ascii="Baskerville Old Face" w:eastAsiaTheme="minorEastAsia" w:hAnsi="Baskerville Old Face"/>
        </w:rPr>
        <w:lastRenderedPageBreak/>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E07099">
        <w:rPr>
          <w:rFonts w:ascii="Baskerville Old Face" w:eastAsiaTheme="minorEastAsia" w:hAnsi="Baskerville Old Face"/>
        </w:rPr>
        <w:t xml:space="preserve">size, price, and time effects. </w:t>
      </w:r>
    </w:p>
    <w:p w:rsidR="00E07099" w:rsidRDefault="00E07099" w:rsidP="00E07099">
      <w:pPr>
        <w:spacing w:line="480" w:lineRule="auto"/>
        <w:ind w:firstLine="0"/>
        <w:jc w:val="both"/>
        <w:rPr>
          <w:rFonts w:ascii="Baskerville Old Face" w:eastAsiaTheme="minorEastAsia" w:hAnsi="Baskerville Old Face"/>
        </w:rPr>
      </w:pPr>
    </w:p>
    <w:p w:rsidR="00B56211" w:rsidRPr="00E07099" w:rsidRDefault="005B4E1C"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2531B1" w:rsidRDefault="009C09F6"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2531B1" w:rsidRPr="005B52E1" w:rsidRDefault="002531B1" w:rsidP="00B56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9"/>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w:t>
      </w:r>
      <w:r w:rsidRPr="005B52E1">
        <w:rPr>
          <w:rFonts w:ascii="Baskerville Old Face" w:eastAsiaTheme="minorEastAsia" w:hAnsi="Baskerville Old Face"/>
        </w:rPr>
        <w:lastRenderedPageBreak/>
        <w:t>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(Bittar n.d.; Beggs &amp; Graddy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substitutes, which is suggested here by the highly significant coefficient for the substitution measure.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From our interviews, we learned that buyers of art tend to be myopic, in that they do not tend to internalize the full range of historical prices (only recent prices, e.g. anchoring). This seems to be confirmed by the price indices and small time coefficients in Beggs &amp; Graddy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B56211" w:rsidRPr="00730FFB" w:rsidRDefault="009C09F6"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r>
                                            <w:rPr>
                                              <w:rFonts w:ascii="Cambria Math" w:eastAsiaTheme="minorEastAsia" w:hAnsi="Cambria Math"/>
                                            </w:rPr>
                                            <m:t>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r>
                                        <w:rPr>
                                          <w:rFonts w:ascii="Cambria Math" w:eastAsiaTheme="minorEastAsia" w:hAnsi="Cambria Math"/>
                                        </w:rPr>
                                        <m:t>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r>
                                    <w:rPr>
                                      <w:rFonts w:ascii="Cambria Math" w:eastAsiaTheme="minorEastAsia" w:hAnsi="Cambria Math"/>
                                    </w:rPr>
                                    <m:t>i</m:t>
                                  </m:r>
                                </m:sub>
                              </m:sSub>
                            </m:e>
                          </m:d>
                        </m:e>
                      </m:d>
                    </m:e>
                  </m:nary>
                </m:e>
              </m:func>
            </m:e>
          </m:d>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w:t>
      </w:r>
      <w:r w:rsidR="003C7DE9">
        <w:rPr>
          <w:rFonts w:ascii="Baskerville Old Face" w:eastAsiaTheme="minorEastAsia" w:hAnsi="Baskerville Old Face"/>
        </w:rPr>
        <w:t>s</w:t>
      </w:r>
      <w:r w:rsidRPr="005B52E1">
        <w:rPr>
          <w:rFonts w:ascii="Baskerville Old Face" w:eastAsiaTheme="minorEastAsia" w:hAnsi="Baskerville Old Face"/>
        </w:rPr>
        <w:t xml:space="preserve"> 5 and 6). Compared to Impressionist pieces, Contemporary art </w:t>
      </w:r>
      <w:r w:rsidRPr="005B52E1">
        <w:rPr>
          <w:rFonts w:ascii="Baskerville Old Face" w:eastAsiaTheme="minorEastAsia" w:hAnsi="Baskerville Old Face"/>
        </w:rPr>
        <w:lastRenderedPageBreak/>
        <w:t>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Edvard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Substitution Experiment #1</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003A42C8">
        <w:rPr>
          <w:rFonts w:ascii="Baskerville Old Face" w:eastAsiaTheme="minorEastAsia" w:hAnsi="Baskerville Old Face"/>
        </w:rPr>
        <w:t xml:space="preserve"> (Danto n.d.)</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n.d.)</w:t>
      </w:r>
      <w:r w:rsidRPr="005B52E1">
        <w:rPr>
          <w:rFonts w:ascii="Baskerville Old Face" w:eastAsiaTheme="minorEastAsia" w:hAnsi="Baskerville Old Face"/>
        </w:rPr>
        <w:t xml:space="preserve">. Overall, their artistic styles only seem to be moderately similar, given Miro’s focus on geometry and Dali’s emphasis on realism. That said, works by both Surrealists have sold at auction for 6- and 7-figure </w:t>
      </w:r>
      <w:r w:rsidRPr="005B52E1">
        <w:rPr>
          <w:rFonts w:ascii="Baskerville Old Face" w:eastAsiaTheme="minorEastAsia" w:hAnsi="Baskerville Old Face"/>
        </w:rPr>
        <w:lastRenderedPageBreak/>
        <w:t>sums, and the two Surrealists are sometimes paired together at museum and gallery exhibitions</w:t>
      </w:r>
      <w:r w:rsidR="003A42C8">
        <w:rPr>
          <w:rFonts w:ascii="Baskerville Old Face" w:eastAsiaTheme="minorEastAsia" w:hAnsi="Baskerville Old Face"/>
        </w:rPr>
        <w:t xml:space="preserve"> (Galerie Michael n.d.)</w:t>
      </w:r>
      <w:r w:rsidRPr="005B52E1">
        <w:rPr>
          <w:rFonts w:ascii="Baskerville Old Face" w:eastAsiaTheme="minorEastAsia" w:hAnsi="Baskerville Old Face"/>
        </w:rPr>
        <w:t>. We were also told that works by these two artists tend to also attract the same kinds of clients.</w:t>
      </w:r>
      <w:r w:rsidR="003A42C8">
        <w:rPr>
          <w:rStyle w:val="FootnoteReference"/>
          <w:rFonts w:ascii="Baskerville Old Face" w:eastAsiaTheme="minorEastAsia" w:hAnsi="Baskerville Old Face"/>
        </w:rPr>
        <w:footnoteReference w:id="20"/>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As confirmed by our earlier regressions, time effects are significant and influential for both Dali and Miro who (as Surrealists) may be classified as Contemporary artists. Despite the variation in our data,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w:t>
      </w:r>
      <w:r w:rsidRPr="005B52E1">
        <w:rPr>
          <w:rFonts w:ascii="Baskerville Old Face" w:eastAsiaTheme="minorEastAsia" w:hAnsi="Baskerville Old Face"/>
        </w:rPr>
        <w:lastRenderedPageBreak/>
        <w:t>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#2:</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00B56211" w:rsidRPr="005B52E1">
        <w:rPr>
          <w:rFonts w:ascii="Baskerville Old Face" w:eastAsiaTheme="minorEastAsia" w:hAnsi="Baskerville Old Face"/>
          <w:b/>
        </w:rPr>
        <w:t xml:space="preserve"> (1881-1973) </w:t>
      </w:r>
      <w:r w:rsidR="00E57AD3">
        <w:rPr>
          <w:rFonts w:ascii="Baskerville Old Face" w:eastAsiaTheme="minorEastAsia" w:hAnsi="Baskerville Old Face"/>
          <w:b/>
        </w:rPr>
        <w:t>&amp;</w:t>
      </w:r>
      <w:r>
        <w:rPr>
          <w:rFonts w:ascii="Baskerville Old Face" w:eastAsiaTheme="minorEastAsia" w:hAnsi="Baskerville Old Face"/>
          <w:b/>
        </w:rPr>
        <w:t xml:space="preserve"> Marc Chagall </w:t>
      </w:r>
      <w:r w:rsidR="00B56211" w:rsidRPr="005B52E1">
        <w:rPr>
          <w:rFonts w:ascii="Baskerville Old Face" w:eastAsiaTheme="minorEastAsia" w:hAnsi="Baskerville Old Face"/>
          <w:b/>
        </w:rPr>
        <w:t>(1887-1985)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sidR="00E41AD7">
        <w:rPr>
          <w:rFonts w:ascii="Baskerville Old Face" w:eastAsiaTheme="minorEastAsia" w:hAnsi="Baskerville Old Face"/>
        </w:rPr>
        <w:t xml:space="preserve"> (“Pablo Picasso Paintings” n.d.)</w:t>
      </w:r>
      <w:r w:rsidRPr="005B52E1">
        <w:rPr>
          <w:rFonts w:ascii="Baskerville Old Face" w:eastAsiaTheme="minorEastAsia" w:hAnsi="Baskerville Old Face"/>
        </w:rPr>
        <w:t>.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00E41AD7">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sidR="00E41AD7">
        <w:rPr>
          <w:rFonts w:ascii="Baskerville Old Face" w:eastAsiaTheme="minorEastAsia" w:hAnsi="Baskerville Old Face"/>
        </w:rPr>
        <w:t xml:space="preserve"> (Opera Gallery 2009; Brandstatter 2015)</w:t>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w:t>
      </w:r>
      <w:r w:rsidRPr="005B52E1">
        <w:rPr>
          <w:rFonts w:ascii="Baskerville Old Face" w:eastAsiaTheme="minorEastAsia" w:hAnsi="Baskerville Old Face"/>
        </w:rPr>
        <w:lastRenderedPageBreak/>
        <w:t>influences, and that our two measures of substitution, although significant and generally a step in the 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Edvard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(“Edvard Munch Biography” n.d.)</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n.d.)</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Nevertheless, both artists pull in hefty sums: Toulouse-Lautrec’s work “Au Lit: Le Baiser”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w:t>
      </w:r>
      <w:r w:rsidRPr="005B52E1">
        <w:rPr>
          <w:rFonts w:ascii="Baskerville Old Face" w:eastAsiaTheme="minorEastAsia" w:hAnsi="Baskerville Old Face"/>
        </w:rPr>
        <w:lastRenderedPageBreak/>
        <w:t>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In this research, we set out to examine the existence of these anchoring cross-effects, building upon the original anchoring work of Beggs &amp; Graddy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We were able to replicate the general findings of Beggs &amp; Graddy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Our model, which generalizes the original model of Beggs &amp; Graddy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 xml:space="preserve">pairs of </w:t>
      </w:r>
      <w:r w:rsidR="00341501">
        <w:rPr>
          <w:rFonts w:ascii="Baskerville Old Face" w:hAnsi="Baskerville Old Face"/>
        </w:rPr>
        <w:lastRenderedPageBreak/>
        <w:t>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surmised from our interviews</w:t>
      </w:r>
      <w:r w:rsidRPr="005B52E1">
        <w:rPr>
          <w:rFonts w:ascii="Baskerville Old Face" w:hAnsi="Baskerville Old Face"/>
        </w:rPr>
        <w:t xml:space="preserve">, something that those in the field must continually address. Hence, there are </w:t>
      </w:r>
      <w:r w:rsidR="001C431E">
        <w:rPr>
          <w:rFonts w:ascii="Baskerville Old Face" w:hAnsi="Baskerville Old Face"/>
        </w:rPr>
        <w:t xml:space="preserve">many </w:t>
      </w:r>
      <w:r w:rsidRPr="005B52E1">
        <w:rPr>
          <w:rFonts w:ascii="Baskerville Old Face" w:hAnsi="Baskerville Old Face"/>
        </w:rPr>
        <w:t xml:space="preserve">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w:t>
      </w:r>
      <w:r w:rsidRPr="005B52E1">
        <w:rPr>
          <w:rFonts w:ascii="Baskerville Old Face" w:hAnsi="Baskerville Old Face"/>
        </w:rPr>
        <w:lastRenderedPageBreak/>
        <w:t xml:space="preserve">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However, when Beggs &amp; Graddy (2005)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Alevy, J. E., List, J. A., &amp; Adamowicz,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Ariely, D., Loewenstein, G., &amp; Prelec,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&amp; Graddy,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Graddy,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Kazakina, K. (21, June 2015). Auction Wars: Christie's, Sotheby's, and The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Bauwens, L., &amp; Ginsburgh, V. (2000). Art experts and auctions: Are pre-sale estimates unbiased and fully informative?.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Recherches Economiques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Bergman, O., Ellingsen, T., Johannesson, M., &amp; Svensson,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lastRenderedPageBreak/>
        <w:t>Bershidsky,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Bittar, P. (n.d.). Why invest in a Bittar?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Blouin Art Sales Index. (n.d.).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Bokhari, S., &amp; Geltner,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Brandly,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Brandstatter,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Bruno, B., &amp; Nocera,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Bucchianeri, G. W., &amp; Minson,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Canals-Cerdá,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Christie's Lotfinder. (n.d.).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Costanigro, M., McCluskey, J. J., &amp; Mittelhammer,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Cupchik, G. C., Winston, A. S., &amp; Herz,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(n.d.).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De Silva, D. G., Pownall, R. A., &amp; Wolk, L. (2012). Does the sun ‘shine’on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De Silva, D. G., Pownall, R. A., &amp; Wolk, L. (2012). Does the sun ‘shine’on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Dougal, C., Engelberg,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Dougal, C., Engelberg, J., Parsons, C. A., &amp; Van Wesep,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Edvard Munch Biography, Art, and Analysis of Works. (n.d.).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Flachaire,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Frykblom, P., &amp; Shogren,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Furnham, A., &amp; Boo, H. C. (2011). A literature review of the anchoring effect.</w:t>
      </w:r>
      <w:r w:rsidRPr="00481F89">
        <w:rPr>
          <w:rFonts w:ascii="Baskerville Old Face" w:hAnsi="Baskerville Old Face" w:cs="Arial"/>
          <w:i/>
          <w:iCs/>
          <w:shd w:val="clear" w:color="auto" w:fill="FFFFFF"/>
        </w:rPr>
        <w:t>The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Galerie Michael. (n.d.).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Gleadell,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Graddy, K., Loewenstein, L. P., Mei, J., Moses, M., &amp; Pownall,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 D., Jacowitz, K. E., Kahneman,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(n.d.).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Hong, H., Kremer, I., Kubik,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How to Sell at a Sotheby’s Auction. (n.d.).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Graddy.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 xml:space="preserve">Kathryn Graddy.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Kinney Jr, W. R., &amp; Uecker,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Ku, G., Galinsky, A. D., &amp; Murnighan,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r w:rsidRPr="00481F89">
        <w:rPr>
          <w:rFonts w:ascii="Baskerville Old Face" w:hAnsi="Baskerville Old Face" w:cs="Arial"/>
          <w:shd w:val="clear" w:color="auto" w:fill="FFFFFF"/>
        </w:rPr>
        <w:t>Reiley, D., Bryan, D., Prasad, N., &amp; Reeves, D. (2007). Pennies from ebay: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(n.d.).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McAlvanah, P., &amp; Moul,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Metropolitan Museum opens exhibition of Edvard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Mussweiler, T. (2001). Sentencing Under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Nianhang, X., &amp; Shinong,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Northcraft, G. B., &amp; Neale, M. A. (1987). Experts, amateurs, and real estate: An anchoring-and-adjustment perspective on property pricing decisions.</w:t>
      </w:r>
      <w:r w:rsidRPr="00481F89">
        <w:rPr>
          <w:rFonts w:ascii="Baskerville Old Face" w:hAnsi="Baskerville Old Face" w:cs="Arial"/>
          <w:i/>
          <w:iCs/>
          <w:shd w:val="clear" w:color="auto" w:fill="FFFFFF"/>
        </w:rPr>
        <w:t>Organizational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(n.d.).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Pénasse, J., Renneboog, L., &amp; Spaenjers,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Rajendran, K. N., &amp; Tellis,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Reyburn,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Rohleder,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(n.d.).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(n.d.).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(n.d.).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Strack, F., &amp; Mussweiler,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Sugden, R., Zheng, J., &amp; Zizzo,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Tversky, A., &amp; Kahneman, D. (1974). Judgment under uncertainty: Heuristics and biases.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Wolk,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D24BA6" w:rsidRDefault="00A74399" w:rsidP="00A74399">
      <w:pPr>
        <w:spacing w:line="480" w:lineRule="auto"/>
        <w:ind w:firstLine="0"/>
        <w:rPr>
          <w:rFonts w:ascii="Baskerville Old Face" w:hAnsi="Baskerville Old Face"/>
          <w:sz w:val="36"/>
          <w:u w:val="singl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The least squares regression line is shown.</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7293" cy="58504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867580"/>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w:t>
            </w:r>
            <w:r w:rsidR="00CA4787">
              <w:rPr>
                <w:rFonts w:ascii="Baskerville Old Face" w:eastAsiaTheme="minorEastAsia" w:hAnsi="Baskerville Old Face"/>
                <w:sz w:val="20"/>
              </w:rPr>
              <w:t>,</w:t>
            </w:r>
            <w:r>
              <w:rPr>
                <w:rFonts w:ascii="Baskerville Old Face" w:eastAsiaTheme="minorEastAsia" w:hAnsi="Baskerville Old Face"/>
                <w:sz w:val="20"/>
              </w:rPr>
              <w:t>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w:t>
            </w:r>
            <w:r w:rsidR="00CA4787">
              <w:rPr>
                <w:rFonts w:ascii="Baskerville Old Face" w:eastAsiaTheme="minorEastAsia" w:hAnsi="Baskerville Old Face"/>
                <w:sz w:val="20"/>
              </w:rPr>
              <w:t>,</w:t>
            </w:r>
            <w:r>
              <w:rPr>
                <w:rFonts w:ascii="Baskerville Old Face" w:eastAsiaTheme="minorEastAsia" w:hAnsi="Baskerville Old Face"/>
                <w:sz w:val="20"/>
              </w:rPr>
              <w:t>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w:t>
            </w:r>
            <w:r w:rsidR="00CA4787">
              <w:rPr>
                <w:rFonts w:ascii="Baskerville Old Face" w:eastAsiaTheme="minorEastAsia" w:hAnsi="Baskerville Old Face"/>
                <w:sz w:val="20"/>
              </w:rPr>
              <w:t>,</w:t>
            </w:r>
            <w:r>
              <w:rPr>
                <w:rFonts w:ascii="Baskerville Old Face" w:eastAsiaTheme="minorEastAsia" w:hAnsi="Baskerville Old Face"/>
                <w:sz w:val="20"/>
              </w:rPr>
              <w:t>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w:t>
            </w:r>
            <w:r w:rsidR="00CA4787">
              <w:rPr>
                <w:rFonts w:ascii="Baskerville Old Face" w:eastAsiaTheme="minorEastAsia" w:hAnsi="Baskerville Old Face"/>
                <w:sz w:val="20"/>
              </w:rPr>
              <w:t>,</w:t>
            </w:r>
            <w:r>
              <w:rPr>
                <w:rFonts w:ascii="Baskerville Old Face" w:eastAsiaTheme="minorEastAsia" w:hAnsi="Baskerville Old Face"/>
                <w:sz w:val="20"/>
              </w:rPr>
              <w:t>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w:t>
            </w:r>
            <w:r w:rsidR="00CA4787">
              <w:rPr>
                <w:rFonts w:ascii="Baskerville Old Face" w:eastAsiaTheme="minorEastAsia" w:hAnsi="Baskerville Old Face"/>
                <w:sz w:val="20"/>
              </w:rPr>
              <w:t>,</w:t>
            </w:r>
            <w:r>
              <w:rPr>
                <w:rFonts w:ascii="Baskerville Old Face" w:eastAsiaTheme="minorEastAsia" w:hAnsi="Baskerville Old Face"/>
                <w:sz w:val="20"/>
              </w:rPr>
              <w:t>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w:t>
            </w:r>
            <w:r w:rsidR="00CA4787">
              <w:rPr>
                <w:rFonts w:ascii="Baskerville Old Face" w:eastAsiaTheme="minorEastAsia" w:hAnsi="Baskerville Old Face"/>
                <w:sz w:val="20"/>
              </w:rPr>
              <w:t>,</w:t>
            </w:r>
            <w:r>
              <w:rPr>
                <w:rFonts w:ascii="Baskerville Old Face" w:eastAsiaTheme="minorEastAsia" w:hAnsi="Baskerville Old Face"/>
                <w:sz w:val="20"/>
              </w:rPr>
              <w:t>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w:t>
            </w:r>
            <w:r w:rsidR="00CA4787">
              <w:rPr>
                <w:rFonts w:ascii="Baskerville Old Face" w:eastAsiaTheme="minorEastAsia" w:hAnsi="Baskerville Old Face"/>
                <w:sz w:val="20"/>
              </w:rPr>
              <w:t>,</w:t>
            </w:r>
            <w:r>
              <w:rPr>
                <w:rFonts w:ascii="Baskerville Old Face" w:eastAsiaTheme="minorEastAsia" w:hAnsi="Baskerville Old Face"/>
                <w:sz w:val="20"/>
              </w:rPr>
              <w:t>500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w:t>
            </w:r>
            <w:r w:rsidR="00CA4787">
              <w:rPr>
                <w:rFonts w:ascii="Baskerville Old Face" w:eastAsiaTheme="minorEastAsia" w:hAnsi="Baskerville Old Face"/>
                <w:sz w:val="20"/>
              </w:rPr>
              <w:t>,</w:t>
            </w:r>
            <w:r>
              <w:rPr>
                <w:rFonts w:ascii="Baskerville Old Face" w:eastAsiaTheme="minorEastAsia" w:hAnsi="Baskerville Old Face"/>
                <w:sz w:val="20"/>
              </w:rPr>
              <w:t>243</w:t>
            </w:r>
          </w:p>
        </w:tc>
      </w:tr>
    </w:tbl>
    <w:p w:rsidR="002F4273" w:rsidRPr="005B52E1" w:rsidRDefault="002F4273" w:rsidP="00DE0F88">
      <w:pPr>
        <w:ind w:firstLine="0"/>
        <w:rPr>
          <w:rFonts w:ascii="Baskerville Old Face" w:hAnsi="Baskerville Old Face"/>
        </w:rPr>
      </w:pPr>
      <w:r w:rsidRPr="005B52E1">
        <w:rPr>
          <w:rFonts w:ascii="Baskerville Old Face" w:hAnsi="Baskerville Old Face"/>
        </w:rPr>
        <w:br w:type="page"/>
      </w: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 or not a painting has sold, so here,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w:t>
            </w:r>
            <w:r w:rsidR="00CA4787">
              <w:rPr>
                <w:rFonts w:ascii="Baskerville Old Face" w:eastAsiaTheme="minorEastAsia" w:hAnsi="Baskerville Old Face"/>
                <w:sz w:val="20"/>
              </w:rPr>
              <w:t>,</w:t>
            </w:r>
            <w:r>
              <w:rPr>
                <w:rFonts w:ascii="Baskerville Old Face" w:eastAsiaTheme="minorEastAsia" w:hAnsi="Baskerville Old Face"/>
                <w:sz w:val="20"/>
              </w:rPr>
              <w:t>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w:t>
            </w:r>
            <w:r w:rsidR="00CA4787">
              <w:rPr>
                <w:rFonts w:ascii="Baskerville Old Face" w:eastAsiaTheme="minorEastAsia" w:hAnsi="Baskerville Old Face"/>
                <w:sz w:val="20"/>
              </w:rPr>
              <w:t>,</w:t>
            </w:r>
            <w:r>
              <w:rPr>
                <w:rFonts w:ascii="Baskerville Old Face" w:eastAsiaTheme="minorEastAsia" w:hAnsi="Baskerville Old Face"/>
                <w:sz w:val="20"/>
              </w:rPr>
              <w:t>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w:t>
            </w:r>
            <w:r w:rsidR="00CA4787">
              <w:rPr>
                <w:rFonts w:ascii="Baskerville Old Face" w:eastAsiaTheme="minorEastAsia" w:hAnsi="Baskerville Old Face"/>
                <w:sz w:val="20"/>
              </w:rPr>
              <w:t>,</w:t>
            </w:r>
            <w:r>
              <w:rPr>
                <w:rFonts w:ascii="Baskerville Old Face" w:eastAsiaTheme="minorEastAsia" w:hAnsi="Baskerville Old Face"/>
                <w:sz w:val="20"/>
              </w:rPr>
              <w:t>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491</w:t>
            </w:r>
            <w:r w:rsidR="00CA4787">
              <w:rPr>
                <w:rFonts w:ascii="Baskerville Old Face" w:eastAsiaTheme="minorEastAsia" w:hAnsi="Baskerville Old Face"/>
                <w:sz w:val="20"/>
              </w:rPr>
              <w:t>,</w:t>
            </w:r>
            <w:r>
              <w:rPr>
                <w:rFonts w:ascii="Baskerville Old Face" w:eastAsiaTheme="minorEastAsia" w:hAnsi="Baskerville Old Face"/>
                <w:sz w:val="20"/>
              </w:rPr>
              <w:t>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w:t>
            </w:r>
            <w:r w:rsidR="00CA4787">
              <w:rPr>
                <w:rFonts w:ascii="Baskerville Old Face" w:eastAsiaTheme="minorEastAsia" w:hAnsi="Baskerville Old Face"/>
                <w:sz w:val="20"/>
              </w:rPr>
              <w:t>,</w:t>
            </w:r>
            <w:r>
              <w:rPr>
                <w:rFonts w:ascii="Baskerville Old Face" w:eastAsiaTheme="minorEastAsia" w:hAnsi="Baskerville Old Face"/>
                <w:sz w:val="20"/>
              </w:rPr>
              <w:t>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w:t>
            </w:r>
            <w:r w:rsidR="00CA4787">
              <w:rPr>
                <w:rFonts w:ascii="Baskerville Old Face" w:eastAsiaTheme="minorEastAsia" w:hAnsi="Baskerville Old Face"/>
                <w:sz w:val="20"/>
              </w:rPr>
              <w:t>,</w:t>
            </w:r>
            <w:r>
              <w:rPr>
                <w:rFonts w:ascii="Baskerville Old Face" w:eastAsiaTheme="minorEastAsia" w:hAnsi="Baskerville Old Face"/>
                <w:sz w:val="20"/>
              </w:rPr>
              <w:t>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w:t>
            </w:r>
            <w:r w:rsidR="00CA4787">
              <w:rPr>
                <w:rFonts w:ascii="Baskerville Old Face" w:eastAsiaTheme="minorEastAsia" w:hAnsi="Baskerville Old Face"/>
                <w:sz w:val="20"/>
              </w:rPr>
              <w:t>,</w:t>
            </w:r>
            <w:r>
              <w:rPr>
                <w:rFonts w:ascii="Baskerville Old Face" w:eastAsiaTheme="minorEastAsia" w:hAnsi="Baskerville Old Face"/>
                <w:sz w:val="20"/>
              </w:rPr>
              <w:t>042</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r w:rsidR="00CA4787">
              <w:rPr>
                <w:rFonts w:ascii="Baskerville Old Face" w:eastAsiaTheme="minorEastAsia" w:hAnsi="Baskerville Old Face"/>
                <w:sz w:val="20"/>
              </w:rPr>
              <w:t>,</w:t>
            </w:r>
            <w:r>
              <w:rPr>
                <w:rFonts w:ascii="Baskerville Old Face" w:eastAsiaTheme="minorEastAsia" w:hAnsi="Baskerville Old Face"/>
                <w:sz w:val="20"/>
              </w:rPr>
              <w:t>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w:t>
            </w:r>
            <w:r w:rsidR="00CA4787">
              <w:rPr>
                <w:rFonts w:ascii="Baskerville Old Face" w:eastAsiaTheme="minorEastAsia" w:hAnsi="Baskerville Old Face"/>
                <w:sz w:val="20"/>
              </w:rPr>
              <w:t>,</w:t>
            </w:r>
            <w:r>
              <w:rPr>
                <w:rFonts w:ascii="Baskerville Old Face" w:eastAsiaTheme="minorEastAsia" w:hAnsi="Baskerville Old Face"/>
                <w:sz w:val="20"/>
              </w:rPr>
              <w:t>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w:t>
            </w:r>
            <w:r w:rsidR="00CA4787">
              <w:rPr>
                <w:rFonts w:ascii="Baskerville Old Face" w:eastAsiaTheme="minorEastAsia" w:hAnsi="Baskerville Old Face"/>
                <w:sz w:val="20"/>
              </w:rPr>
              <w:t>,</w:t>
            </w:r>
            <w:r>
              <w:rPr>
                <w:rFonts w:ascii="Baskerville Old Face" w:eastAsiaTheme="minorEastAsia" w:hAnsi="Baskerville Old Face"/>
                <w:sz w:val="20"/>
              </w:rPr>
              <w:t>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297</w:t>
            </w:r>
            <w:r w:rsidR="00CA4787">
              <w:rPr>
                <w:rFonts w:ascii="Baskerville Old Face" w:eastAsiaTheme="minorEastAsia" w:hAnsi="Baskerville Old Face"/>
                <w:sz w:val="20"/>
              </w:rPr>
              <w:t>,</w:t>
            </w:r>
            <w:r>
              <w:rPr>
                <w:rFonts w:ascii="Baskerville Old Face" w:eastAsiaTheme="minorEastAsia" w:hAnsi="Baskerville Old Face"/>
                <w:sz w:val="20"/>
              </w:rPr>
              <w:t>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168"/>
        <w:gridCol w:w="1168"/>
        <w:gridCol w:w="1169"/>
        <w:gridCol w:w="1169"/>
        <w:gridCol w:w="1169"/>
        <w:gridCol w:w="1169"/>
        <w:gridCol w:w="1169"/>
        <w:gridCol w:w="1169"/>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w:t>
            </w:r>
            <w:r w:rsidR="00CA4787">
              <w:rPr>
                <w:rFonts w:ascii="Baskerville Old Face" w:eastAsiaTheme="minorEastAsia" w:hAnsi="Baskerville Old Face"/>
                <w:sz w:val="20"/>
              </w:rPr>
              <w:t>,</w:t>
            </w:r>
            <w:r>
              <w:rPr>
                <w:rFonts w:ascii="Baskerville Old Face" w:eastAsiaTheme="minorEastAsia" w:hAnsi="Baskerville Old Face"/>
                <w:sz w:val="20"/>
              </w:rPr>
              <w:t>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r w:rsidR="00CA4787">
              <w:rPr>
                <w:rFonts w:ascii="Baskerville Old Face" w:eastAsiaTheme="minorEastAsia" w:hAnsi="Baskerville Old Face"/>
                <w:sz w:val="20"/>
              </w:rPr>
              <w:t>,</w:t>
            </w:r>
            <w:r>
              <w:rPr>
                <w:rFonts w:ascii="Baskerville Old Face" w:eastAsiaTheme="minorEastAsia" w:hAnsi="Baskerville Old Face"/>
                <w:sz w:val="20"/>
              </w:rPr>
              <w:t>530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2B4B52" w:rsidRDefault="002B4B52">
      <w:pPr>
        <w:rPr>
          <w:rFonts w:ascii="Baskerville Old Face" w:hAnsi="Baskerville Old Face"/>
        </w:rPr>
      </w:pPr>
      <w:r>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HEDONIC REGRESSION</w:t>
      </w:r>
      <w:r w:rsidR="002B4B52">
        <w:rPr>
          <w:rFonts w:ascii="Baskerville Old Face" w:hAnsi="Baskerville Old Face"/>
          <w:b/>
        </w:rPr>
        <w:t>S</w:t>
      </w:r>
    </w:p>
    <w:p w:rsidR="002F4273" w:rsidRDefault="002F4273" w:rsidP="002F4273">
      <w:pPr>
        <w:spacing w:line="240" w:lineRule="auto"/>
        <w:ind w:firstLine="0"/>
        <w:rPr>
          <w:rFonts w:ascii="Baskerville Old Face" w:hAnsi="Baskerville Old Face"/>
          <w:b/>
        </w:rPr>
      </w:pPr>
    </w:p>
    <w:p w:rsidR="007F31CE" w:rsidRDefault="007F31CE" w:rsidP="002F4273">
      <w:pPr>
        <w:spacing w:line="240" w:lineRule="auto"/>
        <w:ind w:firstLine="0"/>
        <w:rPr>
          <w:rFonts w:ascii="Baskerville Old Face" w:hAnsi="Baskerville Old Face"/>
        </w:rPr>
      </w:pPr>
      <w:r>
        <w:rPr>
          <w:rFonts w:ascii="Baskerville Old Face" w:hAnsi="Baskerville Old Face"/>
        </w:rPr>
        <w:t xml:space="preserve">P-values that are significant at the 5% level (or lower) are </w:t>
      </w:r>
      <w:r>
        <w:rPr>
          <w:rFonts w:ascii="Baskerville Old Face" w:hAnsi="Baskerville Old Face"/>
          <w:b/>
        </w:rPr>
        <w:t>bolded</w:t>
      </w:r>
      <w:r>
        <w:rPr>
          <w:rFonts w:ascii="Baskerville Old Face" w:hAnsi="Baskerville Old Face"/>
        </w:rPr>
        <w:t>.</w:t>
      </w:r>
    </w:p>
    <w:p w:rsidR="007F31CE" w:rsidRPr="007F31CE" w:rsidRDefault="007F31CE" w:rsidP="002F4273">
      <w:pPr>
        <w:spacing w:line="240" w:lineRule="auto"/>
        <w:ind w:firstLine="0"/>
        <w:rPr>
          <w:rFonts w:ascii="Baskerville Old Face" w:hAnsi="Baskerville Old Face"/>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 purposes.</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872"/>
        <w:gridCol w:w="1872"/>
        <w:gridCol w:w="1872"/>
        <w:gridCol w:w="1872"/>
        <w:gridCol w:w="1872"/>
      </w:tblGrid>
      <w:tr w:rsidR="00E3099F" w:rsidTr="007836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872"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0.008</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0.017</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Pr="00C93BC2"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0.036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0.060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 xml:space="preserve">Medium </w:t>
            </w:r>
            <w:r w:rsidR="001127B0">
              <w:rPr>
                <w:rFonts w:ascii="Baskerville Old Face" w:eastAsiaTheme="minorEastAsia" w:hAnsi="Baskerville Old Face"/>
              </w:rPr>
              <w:t>27</w:t>
            </w:r>
          </w:p>
        </w:tc>
        <w:tc>
          <w:tcPr>
            <w:tcW w:w="1872" w:type="dxa"/>
          </w:tcPr>
          <w:p w:rsidR="00604323"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1.094</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0.661</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1.655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30</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0.490</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0.659</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0.745</w:t>
            </w:r>
          </w:p>
        </w:tc>
        <w:tc>
          <w:tcPr>
            <w:tcW w:w="1872" w:type="dxa"/>
          </w:tcPr>
          <w:p w:rsidR="00604323"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0.456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33</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1.28</w:t>
            </w:r>
            <w:r w:rsidR="00CA4787">
              <w:rPr>
                <w:rFonts w:ascii="Baskerville Old Face" w:eastAsiaTheme="minorEastAsia" w:hAnsi="Baskerville Old Face"/>
              </w:rPr>
              <w:t>0</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0.846</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1.512</w:t>
            </w:r>
          </w:p>
        </w:tc>
        <w:tc>
          <w:tcPr>
            <w:tcW w:w="1872" w:type="dxa"/>
          </w:tcPr>
          <w:p w:rsidR="00604323"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0.132</w:t>
            </w: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Medium 39</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1.767</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0.660</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2.677</w:t>
            </w:r>
          </w:p>
        </w:tc>
        <w:tc>
          <w:tcPr>
            <w:tcW w:w="1872" w:type="dxa"/>
          </w:tcPr>
          <w:p w:rsidR="001127B0"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0.008</w:t>
            </w: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Pr="00664231" w:rsidRDefault="001127B0"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872"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1872" w:type="dxa"/>
            <w:gridSpan w:val="4"/>
          </w:tcPr>
          <w:p w:rsidR="002B7610" w:rsidRDefault="002B761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w:t>
            </w:r>
          </w:p>
          <w:p w:rsidR="001127B0" w:rsidRDefault="001127B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C93BC2"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C93BC2"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lastRenderedPageBreak/>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C93BC2"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78363A"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22.24 on 74 and 319 DF</w:t>
            </w:r>
          </w:p>
          <w:p w:rsidR="0078363A" w:rsidRPr="00664231" w:rsidRDefault="0078363A"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br</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chk</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cr</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ik</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pl</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pn</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sk</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tp</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w</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-0.419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0.254</w:t>
            </w: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094A1B"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lastRenderedPageBreak/>
              <w:t>F-Statistic</w:t>
            </w:r>
          </w:p>
        </w:tc>
        <w:tc>
          <w:tcPr>
            <w:tcW w:w="7488" w:type="dxa"/>
            <w:gridSpan w:val="4"/>
            <w:noWrap/>
            <w:vAlign w:val="center"/>
          </w:tcPr>
          <w:p w:rsid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27.17 on 146 and 330 DF</w:t>
            </w:r>
          </w:p>
          <w:p w:rsidR="00094A1B" w:rsidRPr="00094A1B" w:rsidRDefault="00094A1B" w:rsidP="00094A1B">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C93BC2" w:rsidRDefault="00C93BC2"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7: Hedonic predictions, assorted art. Half-year time dummies omitted for brevity. Artist and medium were omitted due to computational constraints.</w:t>
      </w:r>
    </w:p>
    <w:p w:rsidR="00E1445B" w:rsidRPr="005B52E1" w:rsidRDefault="00E1445B"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861FBC"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3780" w:type="dxa"/>
            <w:gridSpan w:val="2"/>
            <w:noWrap/>
            <w:vAlign w:val="center"/>
          </w:tcPr>
          <w:p w:rsidR="00861FBC"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5907 on 5 and 264109 DF</w:t>
            </w:r>
          </w:p>
          <w:p w:rsidR="00861FBC" w:rsidRPr="00E1445B" w:rsidRDefault="00861FBC" w:rsidP="00861FBC">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tcPr>
          <w:p w:rsidR="00861FBC" w:rsidRPr="00E1445B"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BD0715"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Table 8b: Original anchoring results for Impressionist Art, Beggs &amp; Graddy (2009).</w:t>
      </w:r>
      <w:r w:rsidR="009761AD">
        <w:rPr>
          <w:rFonts w:ascii="Baskerville Old Face" w:eastAsiaTheme="minorEastAsia" w:hAnsi="Baskerville Old Face"/>
        </w:rPr>
        <w:t xml:space="preserve"> This corresponds to the full sample with price as the dependent variable. </w:t>
      </w:r>
      <w:r w:rsidR="00C93BC2">
        <w:rPr>
          <w:rFonts w:ascii="Baskerville Old Face" w:eastAsiaTheme="minorEastAsia" w:hAnsi="Baskerville Old Face"/>
        </w:rPr>
        <w:t xml:space="preserve">Findings of anchoring were significant (not shown). </w:t>
      </w:r>
    </w:p>
    <w:p w:rsidR="00F60D11" w:rsidRDefault="00F60D11" w:rsidP="003C7DE9">
      <w:pPr>
        <w:spacing w:line="240" w:lineRule="auto"/>
        <w:ind w:firstLine="0"/>
        <w:rPr>
          <w:rFonts w:ascii="Baskerville Old Face" w:eastAsiaTheme="minorEastAsia" w:hAnsi="Baskerville Old Face"/>
        </w:rPr>
      </w:pP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9761AD"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3C7DE9" w:rsidRDefault="003C7DE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F60D11"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44555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Table 9b: Original anchoring results for Contemporary art, Beggs &amp; Graddy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F60D11"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0.047</w:t>
            </w:r>
          </w:p>
        </w:tc>
      </w:tr>
      <w:tr w:rsidR="009761AD"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F60D11" w:rsidRDefault="009761AD"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0.0004</w:t>
            </w:r>
          </w:p>
        </w:tc>
      </w:tr>
      <w:tr w:rsidR="009761AD"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9761AD"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F60D11"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lastRenderedPageBreak/>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C36120"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F60D11"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F60D11"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2E6157"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475DA8"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FF27F7"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F60D11"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F60D11"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D5093A"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137267"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4273BB">
        <w:rPr>
          <w:rFonts w:ascii="Baskerville Old Face" w:eastAsiaTheme="minorEastAsia" w:hAnsi="Baskerville Old Face"/>
        </w:rPr>
        <w:t>(cross-effects).</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220"/>
        <w:gridCol w:w="2220"/>
        <w:gridCol w:w="2220"/>
      </w:tblGrid>
      <w:tr w:rsidR="004273BB" w:rsidTr="00D17F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Anchoring coef (&amp; p-val),</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222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Anchoring coef (&amp; p-val),</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0.034 (0.016)</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0.026 (0.0495)</w:t>
            </w:r>
          </w:p>
        </w:tc>
      </w:tr>
      <w:tr w:rsidR="004273BB" w:rsidTr="00D17FCE">
        <w:trPr>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222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D17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0.66 (0.000)</w:t>
            </w:r>
          </w:p>
        </w:tc>
        <w:tc>
          <w:tcPr>
            <w:tcW w:w="222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0.52 (0.000)</w:t>
            </w:r>
          </w:p>
        </w:tc>
      </w:tr>
    </w:tbl>
    <w:p w:rsidR="002F4273" w:rsidRDefault="002F4273" w:rsidP="002F4273">
      <w:pPr>
        <w:spacing w:line="240" w:lineRule="auto"/>
        <w:ind w:firstLine="0"/>
        <w:rPr>
          <w:rFonts w:ascii="Baskerville Old Face" w:eastAsiaTheme="minorEastAsia" w:hAnsi="Baskerville Old Face"/>
        </w:rPr>
      </w:pPr>
    </w:p>
    <w:p w:rsidR="007B1490" w:rsidRPr="005B52E1" w:rsidRDefault="007B1490"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622F"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rPr>
            </w:pPr>
          </w:p>
        </w:tc>
        <w:tc>
          <w:tcPr>
            <w:tcW w:w="1037"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622F" w:rsidRPr="00BD0715" w:rsidRDefault="00FF622F"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112"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960" w:type="dxa"/>
            <w:noWrap/>
            <w:vAlign w:val="center"/>
            <w:hideMark/>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BD0715" w:rsidRDefault="00FF622F"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622F" w:rsidRPr="00BD0715" w:rsidRDefault="00FF622F"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112"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960" w:type="dxa"/>
            <w:noWrap/>
            <w:vAlign w:val="center"/>
            <w:hideMark/>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Pr="0078363A" w:rsidRDefault="00FF622F"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622F"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112"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622F"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112"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622F" w:rsidRPr="00BD0715" w:rsidRDefault="00FF622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622F"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w:t>
            </w:r>
            <w:r>
              <w:rPr>
                <w:rFonts w:ascii="Baskerville Old Face" w:eastAsiaTheme="minorEastAsia" w:hAnsi="Baskerville Old Face"/>
              </w:rPr>
              <w:t xml:space="preserve"> on 5 and</w:t>
            </w:r>
            <w:r>
              <w:rPr>
                <w:rFonts w:ascii="Baskerville Old Face" w:eastAsiaTheme="minorEastAsia" w:hAnsi="Baskerville Old Face"/>
              </w:rPr>
              <w:t xml:space="preserve"> 1458</w:t>
            </w:r>
            <w:r>
              <w:rPr>
                <w:rFonts w:ascii="Baskerville Old Face" w:eastAsiaTheme="minorEastAsia" w:hAnsi="Baskerville Old Face"/>
              </w:rPr>
              <w:t xml:space="preserve"> DF</w:t>
            </w:r>
          </w:p>
          <w:p w:rsidR="00FF622F" w:rsidRPr="00BD0715" w:rsidRDefault="00FF622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77F2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rPr>
            </w:pPr>
          </w:p>
        </w:tc>
        <w:tc>
          <w:tcPr>
            <w:tcW w:w="1037"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77F2E" w:rsidRPr="00BD0715" w:rsidRDefault="00177F2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112"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960" w:type="dxa"/>
            <w:noWrap/>
            <w:vAlign w:val="center"/>
            <w:hideMark/>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BD0715" w:rsidRDefault="00177F2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960" w:type="dxa"/>
            <w:noWrap/>
            <w:vAlign w:val="center"/>
          </w:tcPr>
          <w:p w:rsidR="00177F2E" w:rsidRPr="00BD0715"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77F2E" w:rsidRPr="00BD0715" w:rsidRDefault="00177F2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112"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960" w:type="dxa"/>
            <w:noWrap/>
            <w:vAlign w:val="center"/>
            <w:hideMark/>
          </w:tcPr>
          <w:p w:rsidR="00177F2E" w:rsidRPr="00BD0715"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0.025</w:t>
            </w: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Pr="0078363A" w:rsidRDefault="00177F2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77F2E" w:rsidRDefault="009561C7"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112"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lastRenderedPageBreak/>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77F2E" w:rsidRDefault="009561C7"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112"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77F2E" w:rsidRPr="00BD0715" w:rsidRDefault="00177F2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77F2E" w:rsidRDefault="009561C7"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9F4C4E" w:rsidRPr="005B52E1" w:rsidRDefault="009F4C4E"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9F4C4E"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rPr>
            </w:pPr>
          </w:p>
        </w:tc>
        <w:tc>
          <w:tcPr>
            <w:tcW w:w="1037"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9F4C4E" w:rsidRPr="00BD0715" w:rsidRDefault="009F4C4E"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112"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960" w:type="dxa"/>
            <w:noWrap/>
            <w:vAlign w:val="center"/>
            <w:hideMark/>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BD0715" w:rsidRDefault="009F4C4E"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F4C4E" w:rsidRPr="00BD0715" w:rsidRDefault="009F4C4E"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112"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960" w:type="dxa"/>
            <w:noWrap/>
            <w:vAlign w:val="center"/>
            <w:hideMark/>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Pr="0078363A" w:rsidRDefault="009F4C4E"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F4C4E"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112"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9F4C4E"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112"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9F4C4E" w:rsidRPr="00BD0715" w:rsidRDefault="009F4C4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9F4C4E"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F4C4E" w:rsidRDefault="009F4C4E"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9F4C4E"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102.9 </w:t>
            </w:r>
            <w:r>
              <w:rPr>
                <w:rFonts w:ascii="Baskerville Old Face" w:eastAsiaTheme="minorEastAsia" w:hAnsi="Baskerville Old Face"/>
              </w:rPr>
              <w:t>on 5 and</w:t>
            </w:r>
            <w:r>
              <w:rPr>
                <w:rFonts w:ascii="Baskerville Old Face" w:eastAsiaTheme="minorEastAsia" w:hAnsi="Baskerville Old Face"/>
              </w:rPr>
              <w:t xml:space="preserve"> 2359</w:t>
            </w:r>
            <w:r>
              <w:rPr>
                <w:rFonts w:ascii="Baskerville Old Face" w:eastAsiaTheme="minorEastAsia" w:hAnsi="Baskerville Old Face"/>
              </w:rPr>
              <w:t xml:space="preserve"> DF</w:t>
            </w:r>
          </w:p>
          <w:p w:rsidR="009F4C4E" w:rsidRPr="00BD0715" w:rsidRDefault="009F4C4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cs="Consolas"/>
          <w:sz w:val="18"/>
          <w:szCs w:val="18"/>
        </w:rPr>
      </w:pPr>
    </w:p>
    <w:p w:rsidR="006355D9" w:rsidRPr="005B52E1" w:rsidRDefault="006355D9"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B7FB1" w:rsidRPr="005B52E1" w:rsidRDefault="002B7FB1"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2B7FB1"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rPr>
            </w:pPr>
          </w:p>
        </w:tc>
        <w:tc>
          <w:tcPr>
            <w:tcW w:w="1037"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2B7FB1" w:rsidRPr="00BD0715" w:rsidRDefault="002B7FB1"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112"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960" w:type="dxa"/>
            <w:noWrap/>
            <w:vAlign w:val="center"/>
            <w:hideMark/>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BD0715" w:rsidRDefault="002B7FB1"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112"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960" w:type="dxa"/>
            <w:noWrap/>
            <w:vAlign w:val="center"/>
          </w:tcPr>
          <w:p w:rsidR="002B7FB1" w:rsidRPr="00BD0715" w:rsidRDefault="00E31DF3"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B7FB1" w:rsidRPr="00BD0715" w:rsidRDefault="002B7FB1"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112"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960" w:type="dxa"/>
            <w:noWrap/>
            <w:vAlign w:val="center"/>
            <w:hideMark/>
          </w:tcPr>
          <w:p w:rsidR="002B7FB1" w:rsidRPr="00BD0715" w:rsidRDefault="00E31DF3"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Pr="0078363A" w:rsidRDefault="002B7FB1"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B7FB1" w:rsidRDefault="00BC270F"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112"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B7FB1" w:rsidRDefault="00BC270F"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112"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B7FB1" w:rsidRPr="00BD0715" w:rsidRDefault="002B7FB1"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B7FB1"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B7FB1" w:rsidRDefault="002B7FB1"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B7FB1" w:rsidRDefault="00BC270F"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55.39 </w:t>
            </w:r>
            <w:r w:rsidR="002B7FB1">
              <w:rPr>
                <w:rFonts w:ascii="Baskerville Old Face" w:eastAsiaTheme="minorEastAsia" w:hAnsi="Baskerville Old Face"/>
              </w:rPr>
              <w:t>on 5 and</w:t>
            </w:r>
            <w:r>
              <w:rPr>
                <w:rFonts w:ascii="Baskerville Old Face" w:eastAsiaTheme="minorEastAsia" w:hAnsi="Baskerville Old Face"/>
              </w:rPr>
              <w:t xml:space="preserve"> 2359</w:t>
            </w:r>
            <w:r w:rsidR="002B7FB1">
              <w:rPr>
                <w:rFonts w:ascii="Baskerville Old Face" w:eastAsiaTheme="minorEastAsia" w:hAnsi="Baskerville Old Face"/>
              </w:rPr>
              <w:t xml:space="preserve"> DF</w:t>
            </w:r>
          </w:p>
          <w:p w:rsidR="002B7FB1" w:rsidRPr="00BD0715" w:rsidRDefault="002B7FB1"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left="720"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363806"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rPr>
            </w:pPr>
          </w:p>
        </w:tc>
        <w:tc>
          <w:tcPr>
            <w:tcW w:w="1037"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363806" w:rsidRPr="00BD0715" w:rsidRDefault="00363806"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112"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960" w:type="dxa"/>
            <w:noWrap/>
            <w:vAlign w:val="center"/>
            <w:hideMark/>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BD0715" w:rsidRDefault="00363806"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363806" w:rsidRPr="00BD0715" w:rsidRDefault="00363806"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112"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960" w:type="dxa"/>
            <w:noWrap/>
            <w:vAlign w:val="center"/>
            <w:hideMark/>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Pr="0078363A" w:rsidRDefault="00363806"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363806"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112"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363806"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112"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363806" w:rsidRPr="00BD0715" w:rsidRDefault="00363806"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363806"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25.24 </w:t>
            </w:r>
            <w:r>
              <w:rPr>
                <w:rFonts w:ascii="Baskerville Old Face" w:eastAsiaTheme="minorEastAsia" w:hAnsi="Baskerville Old Face"/>
              </w:rPr>
              <w:t>on 5 and</w:t>
            </w:r>
            <w:r>
              <w:rPr>
                <w:rFonts w:ascii="Baskerville Old Face" w:eastAsiaTheme="minorEastAsia" w:hAnsi="Baskerville Old Face"/>
              </w:rPr>
              <w:t xml:space="preserve"> 305</w:t>
            </w:r>
            <w:r>
              <w:rPr>
                <w:rFonts w:ascii="Baskerville Old Face" w:eastAsiaTheme="minorEastAsia" w:hAnsi="Baskerville Old Face"/>
              </w:rPr>
              <w:t xml:space="preserve"> DF</w:t>
            </w:r>
          </w:p>
          <w:p w:rsidR="00363806" w:rsidRPr="00BD0715" w:rsidRDefault="00363806"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96AAA" w:rsidRPr="00BD0715" w:rsidTr="00CE4F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rPr>
            </w:pPr>
          </w:p>
        </w:tc>
        <w:tc>
          <w:tcPr>
            <w:tcW w:w="1037"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96AAA" w:rsidRPr="00BD0715" w:rsidRDefault="00496AAA" w:rsidP="00CE4F87">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112"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960" w:type="dxa"/>
            <w:noWrap/>
            <w:vAlign w:val="center"/>
            <w:hideMark/>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BD0715" w:rsidRDefault="00496AAA" w:rsidP="00CE4F8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112"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960" w:type="dxa"/>
            <w:noWrap/>
            <w:vAlign w:val="center"/>
          </w:tcPr>
          <w:p w:rsidR="00496AAA" w:rsidRPr="00BD0715"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96AAA" w:rsidRPr="00BD0715" w:rsidRDefault="00496AAA" w:rsidP="00CE4F87">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112"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960" w:type="dxa"/>
            <w:noWrap/>
            <w:vAlign w:val="center"/>
            <w:hideMark/>
          </w:tcPr>
          <w:p w:rsidR="00496AAA" w:rsidRPr="00BD0715"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Pr="0078363A" w:rsidRDefault="00496AAA" w:rsidP="00CE4F8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96AAA" w:rsidRDefault="00582F7E"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112"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96AAA" w:rsidRDefault="00582F7E"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112"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96AAA" w:rsidRPr="00BD0715" w:rsidRDefault="00496AAA" w:rsidP="00CE4F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E4F8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CE4F8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96AAA" w:rsidRDefault="00582F7E"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CE4F8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rsidSect="00F93A4D">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D25" w:rsidRDefault="00023D25" w:rsidP="00D623AC">
      <w:pPr>
        <w:spacing w:line="240" w:lineRule="auto"/>
      </w:pPr>
      <w:r>
        <w:separator/>
      </w:r>
    </w:p>
  </w:endnote>
  <w:endnote w:type="continuationSeparator" w:id="0">
    <w:p w:rsidR="00023D25" w:rsidRDefault="00023D25"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50465"/>
      <w:docPartObj>
        <w:docPartGallery w:val="Page Numbers (Bottom of Page)"/>
        <w:docPartUnique/>
      </w:docPartObj>
    </w:sdtPr>
    <w:sdtEndPr>
      <w:rPr>
        <w:noProof/>
      </w:rPr>
    </w:sdtEndPr>
    <w:sdtContent>
      <w:p w:rsidR="00F93A4D" w:rsidRDefault="00F93A4D">
        <w:pPr>
          <w:pStyle w:val="Footer"/>
          <w:jc w:val="center"/>
        </w:pPr>
        <w:r>
          <w:fldChar w:fldCharType="begin"/>
        </w:r>
        <w:r>
          <w:instrText xml:space="preserve"> PAGE   \* MERGEFORMAT </w:instrText>
        </w:r>
        <w:r>
          <w:fldChar w:fldCharType="separate"/>
        </w:r>
        <w:r w:rsidR="00C8590F">
          <w:rPr>
            <w:noProof/>
          </w:rPr>
          <w:t>34</w:t>
        </w:r>
        <w:r>
          <w:rPr>
            <w:noProof/>
          </w:rPr>
          <w:fldChar w:fldCharType="end"/>
        </w:r>
      </w:p>
    </w:sdtContent>
  </w:sdt>
  <w:p w:rsidR="00F93A4D" w:rsidRDefault="00F93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D25" w:rsidRDefault="00023D25" w:rsidP="00F91D99">
      <w:pPr>
        <w:spacing w:line="240" w:lineRule="auto"/>
        <w:ind w:firstLine="0"/>
      </w:pPr>
      <w:r>
        <w:separator/>
      </w:r>
    </w:p>
  </w:footnote>
  <w:footnote w:type="continuationSeparator" w:id="0">
    <w:p w:rsidR="00023D25" w:rsidRDefault="00023D25" w:rsidP="00D623AC">
      <w:pPr>
        <w:spacing w:line="240" w:lineRule="auto"/>
      </w:pPr>
      <w:r>
        <w:continuationSeparator/>
      </w:r>
    </w:p>
  </w:footnote>
  <w:footnote w:id="1">
    <w:p w:rsidR="00E74FAE" w:rsidRPr="00433C6B" w:rsidRDefault="00E74FAE" w:rsidP="004C1C09">
      <w:pPr>
        <w:pStyle w:val="FootnoteText"/>
        <w:ind w:firstLine="0"/>
        <w:jc w:val="both"/>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 particular: the Class of 2016; the Class of 2019; Andrew Chung ‘18; David Sng ’13, Tanny Kang ’14.</w:t>
      </w:r>
    </w:p>
  </w:footnote>
  <w:footnote w:id="2">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3">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4">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5">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n.d.).</w:t>
      </w:r>
    </w:p>
  </w:footnote>
  <w:footnote w:id="6">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8">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both the relative and absolute range between low and high estimates.</w:t>
      </w:r>
    </w:p>
  </w:footnote>
  <w:footnote w:id="9">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10">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1">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http://people.brandeis.edu/~kgraddy/data.html</w:t>
      </w:r>
    </w:p>
  </w:footnote>
  <w:footnote w:id="12">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data here consists of all sale observations that correspond to the set of paintings that have been resold multiple times. Beggs &amp; Graddy</w:t>
      </w:r>
      <w:r w:rsidRPr="00433C6B">
        <w:rPr>
          <w:rFonts w:ascii="Baskerville Old Face" w:eastAsiaTheme="minorEastAsia" w:hAnsi="Baskerville Old Face"/>
        </w:rPr>
        <w:t xml:space="preserve"> have painstakingly verified each observation against presale catalogs. Because those are not available, in</w:t>
      </w:r>
      <w:r w:rsidR="00E47230">
        <w:rPr>
          <w:rFonts w:ascii="Baskerville Old Face" w:eastAsiaTheme="minorEastAsia" w:hAnsi="Baskerville Old Face"/>
        </w:rPr>
        <w:t xml:space="preserve"> our</w:t>
      </w:r>
      <w:r w:rsidR="004E653D" w:rsidRPr="00433C6B">
        <w:rPr>
          <w:rFonts w:ascii="Baskerville Old Face" w:eastAsiaTheme="minorEastAsia" w:hAnsi="Baskerville Old Face"/>
        </w:rPr>
        <w:t xml:space="preserve"> replication work</w:t>
      </w:r>
      <w:r w:rsidR="00E47230">
        <w:rPr>
          <w:rFonts w:ascii="Baskerville Old Face" w:eastAsiaTheme="minorEastAsia" w:hAnsi="Baskerville Old Face"/>
        </w:rPr>
        <w:t xml:space="preserve"> we </w:t>
      </w:r>
      <w:r w:rsidRPr="00433C6B">
        <w:rPr>
          <w:rFonts w:ascii="Baskerville Old Face" w:eastAsiaTheme="minorEastAsia" w:hAnsi="Baskerville Old Face"/>
        </w:rPr>
        <w:t>make the assumption that duplicate observations in their Impressionist and Contemporary data refer to multiple sales of the same item.</w:t>
      </w:r>
    </w:p>
  </w:footnote>
  <w:footnote w:id="13">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4">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5">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6">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7">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further discussion: http://www.jstor.org/stable/pdf/20715780.pdf?acceptTC=true</w:t>
      </w:r>
    </w:p>
  </w:footnote>
  <w:footnote w:id="18">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9">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Lotfinder) </w:t>
      </w:r>
    </w:p>
  </w:footnote>
  <w:footnote w:id="20">
    <w:p w:rsidR="00E74FAE" w:rsidRPr="00433C6B" w:rsidRDefault="00E74FAE"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3D25"/>
    <w:rsid w:val="00025999"/>
    <w:rsid w:val="000365AE"/>
    <w:rsid w:val="000365B2"/>
    <w:rsid w:val="00036F63"/>
    <w:rsid w:val="0003707F"/>
    <w:rsid w:val="0004581D"/>
    <w:rsid w:val="00051CAD"/>
    <w:rsid w:val="00053771"/>
    <w:rsid w:val="0006102D"/>
    <w:rsid w:val="000612E1"/>
    <w:rsid w:val="000617BF"/>
    <w:rsid w:val="00064D94"/>
    <w:rsid w:val="00071336"/>
    <w:rsid w:val="00072064"/>
    <w:rsid w:val="000724EC"/>
    <w:rsid w:val="00081957"/>
    <w:rsid w:val="00086AC4"/>
    <w:rsid w:val="000877BC"/>
    <w:rsid w:val="00090D5E"/>
    <w:rsid w:val="000933C4"/>
    <w:rsid w:val="00093C7F"/>
    <w:rsid w:val="000949D0"/>
    <w:rsid w:val="000949D5"/>
    <w:rsid w:val="00094A1B"/>
    <w:rsid w:val="00094C95"/>
    <w:rsid w:val="00095BC6"/>
    <w:rsid w:val="000966E6"/>
    <w:rsid w:val="00096FFC"/>
    <w:rsid w:val="00097264"/>
    <w:rsid w:val="000A0059"/>
    <w:rsid w:val="000A6C7A"/>
    <w:rsid w:val="000B01FC"/>
    <w:rsid w:val="000B1104"/>
    <w:rsid w:val="000B1512"/>
    <w:rsid w:val="000B31A7"/>
    <w:rsid w:val="000B3BEC"/>
    <w:rsid w:val="000C01C5"/>
    <w:rsid w:val="000C0A11"/>
    <w:rsid w:val="000C21FB"/>
    <w:rsid w:val="000C3D22"/>
    <w:rsid w:val="000C48CA"/>
    <w:rsid w:val="000E0CAD"/>
    <w:rsid w:val="000E4697"/>
    <w:rsid w:val="000F475E"/>
    <w:rsid w:val="000F67D5"/>
    <w:rsid w:val="000F79A7"/>
    <w:rsid w:val="00102894"/>
    <w:rsid w:val="00103632"/>
    <w:rsid w:val="001040C6"/>
    <w:rsid w:val="00105E71"/>
    <w:rsid w:val="001072DD"/>
    <w:rsid w:val="001079F5"/>
    <w:rsid w:val="0011263D"/>
    <w:rsid w:val="001127B0"/>
    <w:rsid w:val="001150EF"/>
    <w:rsid w:val="00132193"/>
    <w:rsid w:val="001347FA"/>
    <w:rsid w:val="00134C21"/>
    <w:rsid w:val="00137267"/>
    <w:rsid w:val="00137FCF"/>
    <w:rsid w:val="00146E80"/>
    <w:rsid w:val="00147557"/>
    <w:rsid w:val="001531B9"/>
    <w:rsid w:val="00154058"/>
    <w:rsid w:val="00154622"/>
    <w:rsid w:val="0015554D"/>
    <w:rsid w:val="0016234F"/>
    <w:rsid w:val="001664CC"/>
    <w:rsid w:val="00171002"/>
    <w:rsid w:val="001746B1"/>
    <w:rsid w:val="00176D2A"/>
    <w:rsid w:val="00177D08"/>
    <w:rsid w:val="00177F2E"/>
    <w:rsid w:val="0018386A"/>
    <w:rsid w:val="00186E3B"/>
    <w:rsid w:val="00190454"/>
    <w:rsid w:val="001923C5"/>
    <w:rsid w:val="001963A6"/>
    <w:rsid w:val="001A0792"/>
    <w:rsid w:val="001A1B4C"/>
    <w:rsid w:val="001B238A"/>
    <w:rsid w:val="001B50B6"/>
    <w:rsid w:val="001C10E5"/>
    <w:rsid w:val="001C431E"/>
    <w:rsid w:val="001C4487"/>
    <w:rsid w:val="001C5435"/>
    <w:rsid w:val="001C71EE"/>
    <w:rsid w:val="001D0BDD"/>
    <w:rsid w:val="001D0F94"/>
    <w:rsid w:val="001D1095"/>
    <w:rsid w:val="001D37D3"/>
    <w:rsid w:val="001D4E68"/>
    <w:rsid w:val="001D59E4"/>
    <w:rsid w:val="001D6940"/>
    <w:rsid w:val="001E2855"/>
    <w:rsid w:val="001E2D9B"/>
    <w:rsid w:val="001E70AC"/>
    <w:rsid w:val="001F12A1"/>
    <w:rsid w:val="002070DE"/>
    <w:rsid w:val="00207AB5"/>
    <w:rsid w:val="00212F06"/>
    <w:rsid w:val="00215A67"/>
    <w:rsid w:val="002215CE"/>
    <w:rsid w:val="002254BB"/>
    <w:rsid w:val="00231367"/>
    <w:rsid w:val="002330FE"/>
    <w:rsid w:val="002354BD"/>
    <w:rsid w:val="00240A87"/>
    <w:rsid w:val="002413AA"/>
    <w:rsid w:val="00244E2A"/>
    <w:rsid w:val="0025210D"/>
    <w:rsid w:val="002531B1"/>
    <w:rsid w:val="00270A01"/>
    <w:rsid w:val="00274DC2"/>
    <w:rsid w:val="00276DA2"/>
    <w:rsid w:val="0028464F"/>
    <w:rsid w:val="0029152A"/>
    <w:rsid w:val="00295476"/>
    <w:rsid w:val="00297B06"/>
    <w:rsid w:val="002B2CF5"/>
    <w:rsid w:val="002B3BB4"/>
    <w:rsid w:val="002B4B52"/>
    <w:rsid w:val="002B5B55"/>
    <w:rsid w:val="002B70E8"/>
    <w:rsid w:val="002B7610"/>
    <w:rsid w:val="002B795C"/>
    <w:rsid w:val="002B7C26"/>
    <w:rsid w:val="002B7FB1"/>
    <w:rsid w:val="002C0D09"/>
    <w:rsid w:val="002C1F1C"/>
    <w:rsid w:val="002C6C3B"/>
    <w:rsid w:val="002D7905"/>
    <w:rsid w:val="002E0CCB"/>
    <w:rsid w:val="002E4038"/>
    <w:rsid w:val="002E6157"/>
    <w:rsid w:val="002F01DE"/>
    <w:rsid w:val="002F0954"/>
    <w:rsid w:val="002F4273"/>
    <w:rsid w:val="002F5752"/>
    <w:rsid w:val="00302236"/>
    <w:rsid w:val="0030346D"/>
    <w:rsid w:val="00306E4C"/>
    <w:rsid w:val="00311000"/>
    <w:rsid w:val="00312552"/>
    <w:rsid w:val="0031546B"/>
    <w:rsid w:val="0031625C"/>
    <w:rsid w:val="003206D9"/>
    <w:rsid w:val="00325774"/>
    <w:rsid w:val="0032680E"/>
    <w:rsid w:val="00332E64"/>
    <w:rsid w:val="00334021"/>
    <w:rsid w:val="00334B4B"/>
    <w:rsid w:val="003376D2"/>
    <w:rsid w:val="00341500"/>
    <w:rsid w:val="00341501"/>
    <w:rsid w:val="003421E3"/>
    <w:rsid w:val="00344358"/>
    <w:rsid w:val="003467B4"/>
    <w:rsid w:val="00350892"/>
    <w:rsid w:val="00351264"/>
    <w:rsid w:val="00351855"/>
    <w:rsid w:val="003555C8"/>
    <w:rsid w:val="00357F4E"/>
    <w:rsid w:val="00363806"/>
    <w:rsid w:val="00367CE5"/>
    <w:rsid w:val="003709B0"/>
    <w:rsid w:val="00371647"/>
    <w:rsid w:val="00380ED4"/>
    <w:rsid w:val="003833DB"/>
    <w:rsid w:val="00383DFF"/>
    <w:rsid w:val="00384159"/>
    <w:rsid w:val="0038479A"/>
    <w:rsid w:val="003910D6"/>
    <w:rsid w:val="0039153D"/>
    <w:rsid w:val="00392FAA"/>
    <w:rsid w:val="00396B88"/>
    <w:rsid w:val="003A42C8"/>
    <w:rsid w:val="003A4F5B"/>
    <w:rsid w:val="003A55CE"/>
    <w:rsid w:val="003A6187"/>
    <w:rsid w:val="003A630C"/>
    <w:rsid w:val="003B24FB"/>
    <w:rsid w:val="003B3631"/>
    <w:rsid w:val="003B643B"/>
    <w:rsid w:val="003C15C3"/>
    <w:rsid w:val="003C432A"/>
    <w:rsid w:val="003C44AA"/>
    <w:rsid w:val="003C7DE9"/>
    <w:rsid w:val="003D1ECF"/>
    <w:rsid w:val="003D6BB2"/>
    <w:rsid w:val="003E0F8E"/>
    <w:rsid w:val="003E55B6"/>
    <w:rsid w:val="003E5DF3"/>
    <w:rsid w:val="003F0A27"/>
    <w:rsid w:val="003F61FD"/>
    <w:rsid w:val="003F62D5"/>
    <w:rsid w:val="00400F06"/>
    <w:rsid w:val="00402489"/>
    <w:rsid w:val="0040286D"/>
    <w:rsid w:val="00402D1C"/>
    <w:rsid w:val="0040496E"/>
    <w:rsid w:val="00410032"/>
    <w:rsid w:val="004175E4"/>
    <w:rsid w:val="00425FD3"/>
    <w:rsid w:val="004273BB"/>
    <w:rsid w:val="00430CFB"/>
    <w:rsid w:val="004337B3"/>
    <w:rsid w:val="00433C6B"/>
    <w:rsid w:val="00434BD8"/>
    <w:rsid w:val="00436EE4"/>
    <w:rsid w:val="004377D6"/>
    <w:rsid w:val="00442003"/>
    <w:rsid w:val="0044555B"/>
    <w:rsid w:val="00450A5E"/>
    <w:rsid w:val="004528E8"/>
    <w:rsid w:val="00456571"/>
    <w:rsid w:val="00456C75"/>
    <w:rsid w:val="0045709A"/>
    <w:rsid w:val="004572CE"/>
    <w:rsid w:val="00460708"/>
    <w:rsid w:val="004610FF"/>
    <w:rsid w:val="00463170"/>
    <w:rsid w:val="00467528"/>
    <w:rsid w:val="00472B0B"/>
    <w:rsid w:val="00475DA8"/>
    <w:rsid w:val="00480845"/>
    <w:rsid w:val="004920AE"/>
    <w:rsid w:val="00494016"/>
    <w:rsid w:val="00494442"/>
    <w:rsid w:val="00494877"/>
    <w:rsid w:val="00496AAA"/>
    <w:rsid w:val="004A0373"/>
    <w:rsid w:val="004A0800"/>
    <w:rsid w:val="004B5572"/>
    <w:rsid w:val="004B5AB7"/>
    <w:rsid w:val="004B61C1"/>
    <w:rsid w:val="004B6DE6"/>
    <w:rsid w:val="004B72F2"/>
    <w:rsid w:val="004C01FD"/>
    <w:rsid w:val="004C1C09"/>
    <w:rsid w:val="004C3D93"/>
    <w:rsid w:val="004D5B95"/>
    <w:rsid w:val="004D5CCA"/>
    <w:rsid w:val="004D60E1"/>
    <w:rsid w:val="004E100D"/>
    <w:rsid w:val="004E1EC2"/>
    <w:rsid w:val="004E3BB5"/>
    <w:rsid w:val="004E653D"/>
    <w:rsid w:val="004E66D4"/>
    <w:rsid w:val="004E7C35"/>
    <w:rsid w:val="00506158"/>
    <w:rsid w:val="0051081B"/>
    <w:rsid w:val="0051133C"/>
    <w:rsid w:val="00511DA9"/>
    <w:rsid w:val="00516299"/>
    <w:rsid w:val="0051697D"/>
    <w:rsid w:val="00517126"/>
    <w:rsid w:val="005234F0"/>
    <w:rsid w:val="00524462"/>
    <w:rsid w:val="00530D64"/>
    <w:rsid w:val="0053321B"/>
    <w:rsid w:val="0053593F"/>
    <w:rsid w:val="00537859"/>
    <w:rsid w:val="0054660A"/>
    <w:rsid w:val="005475B0"/>
    <w:rsid w:val="005515E9"/>
    <w:rsid w:val="005560D1"/>
    <w:rsid w:val="00561DBF"/>
    <w:rsid w:val="00563E01"/>
    <w:rsid w:val="00566689"/>
    <w:rsid w:val="00567020"/>
    <w:rsid w:val="00570575"/>
    <w:rsid w:val="00570E11"/>
    <w:rsid w:val="0057297B"/>
    <w:rsid w:val="005770EB"/>
    <w:rsid w:val="00580396"/>
    <w:rsid w:val="00582F7E"/>
    <w:rsid w:val="00583CA7"/>
    <w:rsid w:val="00585294"/>
    <w:rsid w:val="00586AA9"/>
    <w:rsid w:val="00587F8E"/>
    <w:rsid w:val="00592840"/>
    <w:rsid w:val="00595D1C"/>
    <w:rsid w:val="00596626"/>
    <w:rsid w:val="005A0EBC"/>
    <w:rsid w:val="005A26BF"/>
    <w:rsid w:val="005A4B4F"/>
    <w:rsid w:val="005B1D26"/>
    <w:rsid w:val="005B4E1C"/>
    <w:rsid w:val="005B52E1"/>
    <w:rsid w:val="005D34C8"/>
    <w:rsid w:val="005D3D05"/>
    <w:rsid w:val="005D43A8"/>
    <w:rsid w:val="005E1427"/>
    <w:rsid w:val="005E5463"/>
    <w:rsid w:val="005E7696"/>
    <w:rsid w:val="005F0836"/>
    <w:rsid w:val="005F119B"/>
    <w:rsid w:val="005F489B"/>
    <w:rsid w:val="005F588E"/>
    <w:rsid w:val="005F7F39"/>
    <w:rsid w:val="006014AE"/>
    <w:rsid w:val="0060265A"/>
    <w:rsid w:val="00604323"/>
    <w:rsid w:val="0060493C"/>
    <w:rsid w:val="00605F43"/>
    <w:rsid w:val="006173A9"/>
    <w:rsid w:val="0062080F"/>
    <w:rsid w:val="00621DE7"/>
    <w:rsid w:val="0062376E"/>
    <w:rsid w:val="0062391C"/>
    <w:rsid w:val="0063497A"/>
    <w:rsid w:val="006355D9"/>
    <w:rsid w:val="006374B8"/>
    <w:rsid w:val="00641F11"/>
    <w:rsid w:val="00646514"/>
    <w:rsid w:val="00647719"/>
    <w:rsid w:val="00650C23"/>
    <w:rsid w:val="00651CE6"/>
    <w:rsid w:val="00652C7F"/>
    <w:rsid w:val="00664231"/>
    <w:rsid w:val="00670423"/>
    <w:rsid w:val="00671A7C"/>
    <w:rsid w:val="00677B23"/>
    <w:rsid w:val="00681E77"/>
    <w:rsid w:val="006821A1"/>
    <w:rsid w:val="006840AC"/>
    <w:rsid w:val="00685026"/>
    <w:rsid w:val="00690171"/>
    <w:rsid w:val="0069368E"/>
    <w:rsid w:val="00694C3D"/>
    <w:rsid w:val="006A0803"/>
    <w:rsid w:val="006A3EA6"/>
    <w:rsid w:val="006A481B"/>
    <w:rsid w:val="006A4FB1"/>
    <w:rsid w:val="006B282A"/>
    <w:rsid w:val="006B7A8C"/>
    <w:rsid w:val="006C2BC3"/>
    <w:rsid w:val="006D107D"/>
    <w:rsid w:val="006D5DF8"/>
    <w:rsid w:val="006E0C02"/>
    <w:rsid w:val="006E1ECF"/>
    <w:rsid w:val="006E4623"/>
    <w:rsid w:val="006F26E7"/>
    <w:rsid w:val="006F4F14"/>
    <w:rsid w:val="006F6EFB"/>
    <w:rsid w:val="00711E9B"/>
    <w:rsid w:val="00717FEE"/>
    <w:rsid w:val="00720507"/>
    <w:rsid w:val="00722A49"/>
    <w:rsid w:val="00722BA8"/>
    <w:rsid w:val="00723538"/>
    <w:rsid w:val="00730FFB"/>
    <w:rsid w:val="00732A57"/>
    <w:rsid w:val="00747839"/>
    <w:rsid w:val="00750203"/>
    <w:rsid w:val="00751B93"/>
    <w:rsid w:val="00752986"/>
    <w:rsid w:val="007553BC"/>
    <w:rsid w:val="00761B45"/>
    <w:rsid w:val="00764598"/>
    <w:rsid w:val="0077071D"/>
    <w:rsid w:val="00772EA4"/>
    <w:rsid w:val="007774D5"/>
    <w:rsid w:val="0078363A"/>
    <w:rsid w:val="007905F4"/>
    <w:rsid w:val="007925A1"/>
    <w:rsid w:val="00795790"/>
    <w:rsid w:val="00795811"/>
    <w:rsid w:val="007967EE"/>
    <w:rsid w:val="0079750B"/>
    <w:rsid w:val="007A2CDF"/>
    <w:rsid w:val="007A669B"/>
    <w:rsid w:val="007A6796"/>
    <w:rsid w:val="007B1490"/>
    <w:rsid w:val="007B1E08"/>
    <w:rsid w:val="007B21C0"/>
    <w:rsid w:val="007B576F"/>
    <w:rsid w:val="007B7D54"/>
    <w:rsid w:val="007C1F8B"/>
    <w:rsid w:val="007C3A38"/>
    <w:rsid w:val="007C5131"/>
    <w:rsid w:val="007D4B3A"/>
    <w:rsid w:val="007D75CF"/>
    <w:rsid w:val="007D7D40"/>
    <w:rsid w:val="007E0C70"/>
    <w:rsid w:val="007E4FDF"/>
    <w:rsid w:val="007E77D6"/>
    <w:rsid w:val="007F31CE"/>
    <w:rsid w:val="007F644F"/>
    <w:rsid w:val="00800747"/>
    <w:rsid w:val="00801C36"/>
    <w:rsid w:val="0080417E"/>
    <w:rsid w:val="008047A8"/>
    <w:rsid w:val="00804A37"/>
    <w:rsid w:val="0080635C"/>
    <w:rsid w:val="008079D1"/>
    <w:rsid w:val="008113D8"/>
    <w:rsid w:val="00813572"/>
    <w:rsid w:val="00821A25"/>
    <w:rsid w:val="00830519"/>
    <w:rsid w:val="0083279B"/>
    <w:rsid w:val="00835E99"/>
    <w:rsid w:val="0083664F"/>
    <w:rsid w:val="00836884"/>
    <w:rsid w:val="00840CBA"/>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595D"/>
    <w:rsid w:val="00896750"/>
    <w:rsid w:val="00896BBF"/>
    <w:rsid w:val="008A072D"/>
    <w:rsid w:val="008B0CC7"/>
    <w:rsid w:val="008B5641"/>
    <w:rsid w:val="008B74A4"/>
    <w:rsid w:val="008C0733"/>
    <w:rsid w:val="008C3178"/>
    <w:rsid w:val="008C4524"/>
    <w:rsid w:val="008C5528"/>
    <w:rsid w:val="008C728B"/>
    <w:rsid w:val="008C7921"/>
    <w:rsid w:val="008C7E1B"/>
    <w:rsid w:val="008D0779"/>
    <w:rsid w:val="008D42D0"/>
    <w:rsid w:val="008D44F3"/>
    <w:rsid w:val="008E4732"/>
    <w:rsid w:val="008E5435"/>
    <w:rsid w:val="008E67F4"/>
    <w:rsid w:val="008E6A0B"/>
    <w:rsid w:val="008E7297"/>
    <w:rsid w:val="008E7E86"/>
    <w:rsid w:val="008F034F"/>
    <w:rsid w:val="008F6EA0"/>
    <w:rsid w:val="00905B18"/>
    <w:rsid w:val="00906170"/>
    <w:rsid w:val="00911339"/>
    <w:rsid w:val="009166E3"/>
    <w:rsid w:val="009200AF"/>
    <w:rsid w:val="00922334"/>
    <w:rsid w:val="00922F99"/>
    <w:rsid w:val="009272D4"/>
    <w:rsid w:val="00927BAA"/>
    <w:rsid w:val="0093007C"/>
    <w:rsid w:val="0093193C"/>
    <w:rsid w:val="00941058"/>
    <w:rsid w:val="00942FA2"/>
    <w:rsid w:val="00943849"/>
    <w:rsid w:val="00944C75"/>
    <w:rsid w:val="00945A2E"/>
    <w:rsid w:val="00950023"/>
    <w:rsid w:val="00951D5C"/>
    <w:rsid w:val="00955765"/>
    <w:rsid w:val="009561C7"/>
    <w:rsid w:val="00962304"/>
    <w:rsid w:val="009643FC"/>
    <w:rsid w:val="009710F8"/>
    <w:rsid w:val="00973471"/>
    <w:rsid w:val="009761AD"/>
    <w:rsid w:val="009800FE"/>
    <w:rsid w:val="00987407"/>
    <w:rsid w:val="009A2ECF"/>
    <w:rsid w:val="009A35A2"/>
    <w:rsid w:val="009A4B8F"/>
    <w:rsid w:val="009A5EF4"/>
    <w:rsid w:val="009B52B8"/>
    <w:rsid w:val="009B646A"/>
    <w:rsid w:val="009C09F6"/>
    <w:rsid w:val="009C323E"/>
    <w:rsid w:val="009C66EE"/>
    <w:rsid w:val="009D009E"/>
    <w:rsid w:val="009D1887"/>
    <w:rsid w:val="009D2817"/>
    <w:rsid w:val="009D4893"/>
    <w:rsid w:val="009D500E"/>
    <w:rsid w:val="009D5BB0"/>
    <w:rsid w:val="009D5D41"/>
    <w:rsid w:val="009D6FBD"/>
    <w:rsid w:val="009F03B6"/>
    <w:rsid w:val="009F0E66"/>
    <w:rsid w:val="009F4C4E"/>
    <w:rsid w:val="009F4E42"/>
    <w:rsid w:val="009F67CF"/>
    <w:rsid w:val="00A0494A"/>
    <w:rsid w:val="00A0540C"/>
    <w:rsid w:val="00A06051"/>
    <w:rsid w:val="00A12089"/>
    <w:rsid w:val="00A12175"/>
    <w:rsid w:val="00A13E4E"/>
    <w:rsid w:val="00A15E91"/>
    <w:rsid w:val="00A1697F"/>
    <w:rsid w:val="00A173A1"/>
    <w:rsid w:val="00A30418"/>
    <w:rsid w:val="00A31011"/>
    <w:rsid w:val="00A31E23"/>
    <w:rsid w:val="00A401DF"/>
    <w:rsid w:val="00A45A9C"/>
    <w:rsid w:val="00A513A4"/>
    <w:rsid w:val="00A55C4A"/>
    <w:rsid w:val="00A57599"/>
    <w:rsid w:val="00A61214"/>
    <w:rsid w:val="00A62F07"/>
    <w:rsid w:val="00A633E3"/>
    <w:rsid w:val="00A63B99"/>
    <w:rsid w:val="00A65D9B"/>
    <w:rsid w:val="00A66C49"/>
    <w:rsid w:val="00A675AA"/>
    <w:rsid w:val="00A70D4D"/>
    <w:rsid w:val="00A740AA"/>
    <w:rsid w:val="00A74399"/>
    <w:rsid w:val="00A74FDC"/>
    <w:rsid w:val="00A806A1"/>
    <w:rsid w:val="00A833BC"/>
    <w:rsid w:val="00A8343C"/>
    <w:rsid w:val="00A92DE4"/>
    <w:rsid w:val="00A9689B"/>
    <w:rsid w:val="00A96B84"/>
    <w:rsid w:val="00AA3061"/>
    <w:rsid w:val="00AA4EE6"/>
    <w:rsid w:val="00AB56F2"/>
    <w:rsid w:val="00AC337D"/>
    <w:rsid w:val="00AC4C9F"/>
    <w:rsid w:val="00AC707B"/>
    <w:rsid w:val="00AD0178"/>
    <w:rsid w:val="00AD1892"/>
    <w:rsid w:val="00AD4BBD"/>
    <w:rsid w:val="00AD4E1C"/>
    <w:rsid w:val="00AD7CA4"/>
    <w:rsid w:val="00AE0B3B"/>
    <w:rsid w:val="00AE41CB"/>
    <w:rsid w:val="00AE56D7"/>
    <w:rsid w:val="00AE7CE2"/>
    <w:rsid w:val="00AF117D"/>
    <w:rsid w:val="00AF4937"/>
    <w:rsid w:val="00AF6897"/>
    <w:rsid w:val="00B059D3"/>
    <w:rsid w:val="00B066A6"/>
    <w:rsid w:val="00B078DA"/>
    <w:rsid w:val="00B07B7D"/>
    <w:rsid w:val="00B105DE"/>
    <w:rsid w:val="00B1643D"/>
    <w:rsid w:val="00B22BEA"/>
    <w:rsid w:val="00B2410E"/>
    <w:rsid w:val="00B25F29"/>
    <w:rsid w:val="00B26D40"/>
    <w:rsid w:val="00B353C5"/>
    <w:rsid w:val="00B3600A"/>
    <w:rsid w:val="00B44DCE"/>
    <w:rsid w:val="00B52633"/>
    <w:rsid w:val="00B548B0"/>
    <w:rsid w:val="00B54F84"/>
    <w:rsid w:val="00B554BC"/>
    <w:rsid w:val="00B55BC1"/>
    <w:rsid w:val="00B56211"/>
    <w:rsid w:val="00B637ED"/>
    <w:rsid w:val="00B64749"/>
    <w:rsid w:val="00B65908"/>
    <w:rsid w:val="00B65AD4"/>
    <w:rsid w:val="00B67DF9"/>
    <w:rsid w:val="00B711F2"/>
    <w:rsid w:val="00B77202"/>
    <w:rsid w:val="00B81447"/>
    <w:rsid w:val="00BA03AC"/>
    <w:rsid w:val="00BA2035"/>
    <w:rsid w:val="00BA3854"/>
    <w:rsid w:val="00BB0C9D"/>
    <w:rsid w:val="00BB2126"/>
    <w:rsid w:val="00BB4113"/>
    <w:rsid w:val="00BB4A23"/>
    <w:rsid w:val="00BC270F"/>
    <w:rsid w:val="00BC275A"/>
    <w:rsid w:val="00BC374B"/>
    <w:rsid w:val="00BC418D"/>
    <w:rsid w:val="00BC4FB5"/>
    <w:rsid w:val="00BD0715"/>
    <w:rsid w:val="00BD5619"/>
    <w:rsid w:val="00BD73CA"/>
    <w:rsid w:val="00BE2603"/>
    <w:rsid w:val="00BE2D94"/>
    <w:rsid w:val="00BE303F"/>
    <w:rsid w:val="00BE6B3E"/>
    <w:rsid w:val="00BE7DEC"/>
    <w:rsid w:val="00BF191A"/>
    <w:rsid w:val="00C01B23"/>
    <w:rsid w:val="00C02970"/>
    <w:rsid w:val="00C031D4"/>
    <w:rsid w:val="00C04FA5"/>
    <w:rsid w:val="00C14F4C"/>
    <w:rsid w:val="00C15C76"/>
    <w:rsid w:val="00C172D9"/>
    <w:rsid w:val="00C2207D"/>
    <w:rsid w:val="00C2335B"/>
    <w:rsid w:val="00C264C3"/>
    <w:rsid w:val="00C32132"/>
    <w:rsid w:val="00C334EB"/>
    <w:rsid w:val="00C36120"/>
    <w:rsid w:val="00C4098F"/>
    <w:rsid w:val="00C45AC9"/>
    <w:rsid w:val="00C525D7"/>
    <w:rsid w:val="00C54F09"/>
    <w:rsid w:val="00C55734"/>
    <w:rsid w:val="00C64C7A"/>
    <w:rsid w:val="00C66357"/>
    <w:rsid w:val="00C667A4"/>
    <w:rsid w:val="00C7498E"/>
    <w:rsid w:val="00C84D23"/>
    <w:rsid w:val="00C8590F"/>
    <w:rsid w:val="00C85DD6"/>
    <w:rsid w:val="00C9226C"/>
    <w:rsid w:val="00C93BC2"/>
    <w:rsid w:val="00C9586F"/>
    <w:rsid w:val="00C96D1D"/>
    <w:rsid w:val="00CA02F7"/>
    <w:rsid w:val="00CA4787"/>
    <w:rsid w:val="00CA4B28"/>
    <w:rsid w:val="00CA4DC5"/>
    <w:rsid w:val="00CB20C3"/>
    <w:rsid w:val="00CB20DE"/>
    <w:rsid w:val="00CB22FA"/>
    <w:rsid w:val="00CB480F"/>
    <w:rsid w:val="00CB4BAE"/>
    <w:rsid w:val="00CB6A45"/>
    <w:rsid w:val="00CC1D62"/>
    <w:rsid w:val="00CC39C6"/>
    <w:rsid w:val="00CD2344"/>
    <w:rsid w:val="00CD562D"/>
    <w:rsid w:val="00CD62A5"/>
    <w:rsid w:val="00CE4141"/>
    <w:rsid w:val="00CE4BDF"/>
    <w:rsid w:val="00CE5636"/>
    <w:rsid w:val="00CF1DEA"/>
    <w:rsid w:val="00CF77FB"/>
    <w:rsid w:val="00D01C69"/>
    <w:rsid w:val="00D06540"/>
    <w:rsid w:val="00D07579"/>
    <w:rsid w:val="00D1031E"/>
    <w:rsid w:val="00D105E8"/>
    <w:rsid w:val="00D14E9A"/>
    <w:rsid w:val="00D15A10"/>
    <w:rsid w:val="00D17617"/>
    <w:rsid w:val="00D17FCE"/>
    <w:rsid w:val="00D20AA6"/>
    <w:rsid w:val="00D21488"/>
    <w:rsid w:val="00D21CD7"/>
    <w:rsid w:val="00D23AE4"/>
    <w:rsid w:val="00D24BA6"/>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161C"/>
    <w:rsid w:val="00DB56A1"/>
    <w:rsid w:val="00DC4427"/>
    <w:rsid w:val="00DC7F74"/>
    <w:rsid w:val="00DE0F88"/>
    <w:rsid w:val="00DE1027"/>
    <w:rsid w:val="00DE40A0"/>
    <w:rsid w:val="00DE6D5B"/>
    <w:rsid w:val="00DF00B9"/>
    <w:rsid w:val="00DF5417"/>
    <w:rsid w:val="00DF5AA3"/>
    <w:rsid w:val="00DF6345"/>
    <w:rsid w:val="00DF7866"/>
    <w:rsid w:val="00E02E2B"/>
    <w:rsid w:val="00E02FB8"/>
    <w:rsid w:val="00E033D0"/>
    <w:rsid w:val="00E07099"/>
    <w:rsid w:val="00E1445B"/>
    <w:rsid w:val="00E21A76"/>
    <w:rsid w:val="00E23FE7"/>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91D"/>
    <w:rsid w:val="00E558A5"/>
    <w:rsid w:val="00E5633F"/>
    <w:rsid w:val="00E57000"/>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7A5C"/>
    <w:rsid w:val="00EA1A76"/>
    <w:rsid w:val="00EA3506"/>
    <w:rsid w:val="00EA35FB"/>
    <w:rsid w:val="00EA404B"/>
    <w:rsid w:val="00EA449F"/>
    <w:rsid w:val="00EA629B"/>
    <w:rsid w:val="00EA68D1"/>
    <w:rsid w:val="00EB79AD"/>
    <w:rsid w:val="00EC35DC"/>
    <w:rsid w:val="00ED13C4"/>
    <w:rsid w:val="00EE0F62"/>
    <w:rsid w:val="00EE5DBE"/>
    <w:rsid w:val="00EE784D"/>
    <w:rsid w:val="00EF2A5E"/>
    <w:rsid w:val="00F05E76"/>
    <w:rsid w:val="00F12A8F"/>
    <w:rsid w:val="00F1537E"/>
    <w:rsid w:val="00F24984"/>
    <w:rsid w:val="00F2537D"/>
    <w:rsid w:val="00F26876"/>
    <w:rsid w:val="00F3256A"/>
    <w:rsid w:val="00F36F47"/>
    <w:rsid w:val="00F45BE1"/>
    <w:rsid w:val="00F568A4"/>
    <w:rsid w:val="00F60D11"/>
    <w:rsid w:val="00F60EBF"/>
    <w:rsid w:val="00F614AC"/>
    <w:rsid w:val="00F62E15"/>
    <w:rsid w:val="00F656CB"/>
    <w:rsid w:val="00F66315"/>
    <w:rsid w:val="00F67126"/>
    <w:rsid w:val="00F7155D"/>
    <w:rsid w:val="00F723BA"/>
    <w:rsid w:val="00F7249F"/>
    <w:rsid w:val="00F727EA"/>
    <w:rsid w:val="00F7324E"/>
    <w:rsid w:val="00F73C84"/>
    <w:rsid w:val="00F73F52"/>
    <w:rsid w:val="00F84C50"/>
    <w:rsid w:val="00F86F81"/>
    <w:rsid w:val="00F8774F"/>
    <w:rsid w:val="00F87EE1"/>
    <w:rsid w:val="00F91D99"/>
    <w:rsid w:val="00F93613"/>
    <w:rsid w:val="00F93A4D"/>
    <w:rsid w:val="00F93D14"/>
    <w:rsid w:val="00FA361A"/>
    <w:rsid w:val="00FA6406"/>
    <w:rsid w:val="00FB0B4C"/>
    <w:rsid w:val="00FB535C"/>
    <w:rsid w:val="00FC12A0"/>
    <w:rsid w:val="00FC1F55"/>
    <w:rsid w:val="00FC2420"/>
    <w:rsid w:val="00FC26BE"/>
    <w:rsid w:val="00FC296A"/>
    <w:rsid w:val="00FC5A05"/>
    <w:rsid w:val="00FD1C20"/>
    <w:rsid w:val="00FD26FB"/>
    <w:rsid w:val="00FD4256"/>
    <w:rsid w:val="00FD6393"/>
    <w:rsid w:val="00FE2DB8"/>
    <w:rsid w:val="00FF1902"/>
    <w:rsid w:val="00FF27F7"/>
    <w:rsid w:val="00FF439D"/>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BD"/>
    <w:rsid w:val="00DD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BD"/>
    <w:rPr>
      <w:color w:val="808080"/>
    </w:rPr>
  </w:style>
  <w:style w:type="paragraph" w:customStyle="1" w:styleId="DB98E997012244039DEA90F091F8DBF6">
    <w:name w:val="DB98E997012244039DEA90F091F8DBF6"/>
    <w:rsid w:val="00DD65BD"/>
  </w:style>
  <w:style w:type="paragraph" w:customStyle="1" w:styleId="7D5E90943E4444AAAFF6D3A2B0E23FCD">
    <w:name w:val="7D5E90943E4444AAAFF6D3A2B0E23FCD"/>
    <w:rsid w:val="00DD65BD"/>
  </w:style>
  <w:style w:type="paragraph" w:customStyle="1" w:styleId="33F03DF0BA7841A68BCD354C835EB256">
    <w:name w:val="33F03DF0BA7841A68BCD354C835EB256"/>
    <w:rsid w:val="00DD65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A1CB4-0D9C-46F5-8FC9-9452FF96A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82</Pages>
  <Words>17871</Words>
  <Characters>101865</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1043</cp:revision>
  <cp:lastPrinted>2016-04-12T20:33:00Z</cp:lastPrinted>
  <dcterms:created xsi:type="dcterms:W3CDTF">2016-04-11T20:04:00Z</dcterms:created>
  <dcterms:modified xsi:type="dcterms:W3CDTF">2016-04-12T20:39:00Z</dcterms:modified>
</cp:coreProperties>
</file>