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Plano de Trabalho: Painel de Visualização do Desenvolvimento Produtivo no DataNordeste</w:t>
      </w:r>
    </w:p>
    <w:p>
      <w:pPr>
        <w:pStyle w:val="Normal"/>
        <w:pBdr>
          <w:bottom w:val="single" w:sz="6" w:space="0" w:color="000000"/>
        </w:pBdr>
        <w:spacing w:before="0" w:after="120"/>
        <w:rPr>
          <w:rFonts w:ascii="Garamond" w:hAnsi="Garamond"/>
          <w:color w:val="444444"/>
          <w:sz w:val="24"/>
          <w:szCs w:val="24"/>
        </w:rPr>
      </w:pPr>
      <w:r>
        <w:rPr>
          <w:rFonts w:ascii="Garamond" w:hAnsi="Garamond"/>
          <w:color w:val="444444"/>
          <w:sz w:val="24"/>
          <w:szCs w:val="24"/>
        </w:rPr>
        <w:t>Ferramenta de visualização de dados articulada ao Observatório da Nova Indústria Brasil no Nordeste. SUDENE.</w:t>
      </w:r>
    </w:p>
    <w:p>
      <w:pPr>
        <w:pStyle w:val="Normal"/>
        <w:pBdr>
          <w:bottom w:val="single" w:sz="6" w:space="0" w:color="000000"/>
        </w:pBdr>
        <w:spacing w:before="0" w:after="120"/>
        <w:rPr>
          <w:rFonts w:ascii="Garamond" w:hAnsi="Garamond"/>
          <w:color w:val="444444"/>
          <w:sz w:val="24"/>
          <w:szCs w:val="24"/>
        </w:rPr>
      </w:pPr>
      <w:r>
        <w:rPr>
          <w:rFonts w:ascii="Garamond" w:hAnsi="Garamond"/>
          <w:color w:val="444444"/>
          <w:sz w:val="24"/>
          <w:szCs w:val="24"/>
        </w:rPr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400"/>
        <w:gridCol w:w="6625"/>
      </w:tblGrid>
      <w:tr>
        <w:trPr/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Equipe</w:t>
            </w:r>
          </w:p>
        </w:tc>
        <w:tc>
          <w:tcPr>
            <w:tcW w:w="66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Dr. Elton Freitas (UFS); Dr. Kliver Lamarthine (UFCG); bolsista com perfil de mestrando, a selecionar</w:t>
            </w:r>
          </w:p>
        </w:tc>
      </w:tr>
      <w:tr>
        <w:trPr/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Hospedagem</w:t>
            </w:r>
          </w:p>
        </w:tc>
        <w:tc>
          <w:tcPr>
            <w:tcW w:w="66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Portal DataNordeste (https://datanordeste.sudene.gov.br)</w:t>
            </w:r>
          </w:p>
        </w:tc>
      </w:tr>
      <w:tr>
        <w:trPr/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Duração</w:t>
            </w:r>
          </w:p>
        </w:tc>
        <w:tc>
          <w:tcPr>
            <w:tcW w:w="66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12 meses</w:t>
            </w:r>
          </w:p>
        </w:tc>
      </w:tr>
    </w:tbl>
    <w:p>
      <w:pPr>
        <w:pStyle w:val="Normal"/>
        <w:spacing w:before="0" w:after="1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</w:r>
    </w:p>
    <w:p>
      <w:pPr>
        <w:pStyle w:val="Heading1"/>
        <w:spacing w:before="0" w:after="1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1. Contextualização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Este plano de trabalho organiza o desenvolvimento de uma ferramenta pública de visualização de dados, em formato de painel (dashboard), a ser hospedada no portal DataNordeste da SUDENE. A iniciativa articula-se ao Observatório da Nova Indústria Brasil no Nordeste, que estrutura e opera uma base de dados e indicadores para monitorar a evolução produtiva regional, produzir análises e boletins periódicos e subsidiar a formulação de estratégias territoriais de desenvolvimento industrial. O painel constitui a camada de visualização e de acesso público a essa base, ampliando a utilidade, a transparência e o alcance das informações produzidas.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O portal DataNordeste é o ambiente institucional da SUDENE para a difusão de dados e análises sobre a região. A ferramenta proposta deverá integrar-se ao portal em identidade visual, padrões técnicos e governança, e observar os princípios de transparência metodológica, rastreabilidade das fontes e reprodutibilidade dos resultados.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</w:r>
    </w:p>
    <w:p>
      <w:pPr>
        <w:pStyle w:val="Heading1"/>
        <w:spacing w:before="0" w:after="1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2. Objetivos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Objetivo geral. </w:t>
      </w:r>
      <w:r>
        <w:rPr>
          <w:rFonts w:ascii="Garamond" w:hAnsi="Garamond"/>
          <w:sz w:val="24"/>
          <w:szCs w:val="24"/>
        </w:rPr>
        <w:t>Desenvolver e publicar, no portal DataNordeste, um painel interativo de visualização da estrutura produtiva da área de atuação da Sudene, contemplando composição setorial, indicadores territoriais associados às cadeias prioritárias da Nova Indústria Brasil e panorama de investimentos, utilizando exclusivamente tecnologias livres e gratuitas.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Objetivos específicos. </w:t>
      </w:r>
      <w:r>
        <w:rPr>
          <w:rFonts w:ascii="Garamond" w:hAnsi="Garamond"/>
          <w:sz w:val="24"/>
          <w:szCs w:val="24"/>
        </w:rPr>
        <w:t>(i) Estruturar um fluxo reprodutível de aquisição e preparação dos dados que alimentarão o painel; (ii) propor e pactuar com a SUDENE o desenho da ferramenta; (iii) implementar o painel com tecnologias livres, em conformidade com a identidade visual do DataNordeste; (iv) validar a ferramenta técnica e institucionalmente; e (v) documentar o processo e estabelecer rotina de atualização periódica.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</w:r>
    </w:p>
    <w:p>
      <w:pPr>
        <w:pStyle w:val="Heading1"/>
        <w:spacing w:before="0" w:after="1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3. Equipe e atribuições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600"/>
        <w:gridCol w:w="6425"/>
      </w:tblGrid>
      <w:tr>
        <w:trPr/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Membro</w:t>
            </w:r>
          </w:p>
        </w:tc>
        <w:tc>
          <w:tcPr>
            <w:tcW w:w="64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Atribuições principais</w:t>
            </w:r>
          </w:p>
        </w:tc>
      </w:tr>
      <w:tr>
        <w:trPr/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Dr. Elton Freitas (UFS)</w:t>
            </w:r>
          </w:p>
        </w:tc>
        <w:tc>
          <w:tcPr>
            <w:tcW w:w="64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Coordenação do projeto e interlocução com a SUDENE; desenho da arquitetura de dados e da arquitetura da informação do painel; supervisão técnica do pipeline e da implementação; validação final dos indicadores exibidos.</w:t>
            </w:r>
          </w:p>
        </w:tc>
      </w:tr>
      <w:tr>
        <w:trPr/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Dr. Kliver Lamarthine (UFCG)</w:t>
            </w:r>
          </w:p>
        </w:tc>
        <w:tc>
          <w:tcPr>
            <w:tcW w:w="64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Articulação com o Observatório da Nova Indústria Brasil no Nordeste e com a equipe do DataNordeste; definição dos indicadores territoriais e das cadeias prioritárias a monitorar; revisão analítica dos módulos do painel; corredação da documentação.</w:t>
            </w:r>
          </w:p>
        </w:tc>
      </w:tr>
      <w:tr>
        <w:trPr/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Bolsista (perfil de mestrando), a selecionar</w:t>
            </w:r>
          </w:p>
        </w:tc>
        <w:tc>
          <w:tcPr>
            <w:tcW w:w="64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Implementação do pipeline de aquisição e preparação dos dados; desenvolvimento dos módulos de visualização; execução dos testes de qualidade de dados; manutenção do repositório e da documentação técnica.</w:t>
            </w:r>
          </w:p>
        </w:tc>
      </w:tr>
    </w:tbl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Perfil desejado para a bolsa: mestrando ou mestre em economia, estatística, ciência de dados ou áreas afins, com domínio de Python para tratamento de dados e experiência ou interesse em visualização de dados e desenvolvimento para a web.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</w:r>
    </w:p>
    <w:p>
      <w:pPr>
        <w:pStyle w:val="Heading1"/>
        <w:spacing w:before="0" w:after="1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4. Bases de dados e indicadores do painel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O painel será alimentado pelas bases públicas relacionadas no Quadro 1, que cobrem estrutura produtiva e emprego, comércio exterior, dimensões ambiental e energética e financiamento ao investimento. A partir delas serão calculados os indicadores exibidos: composição setorial por microrregião (emprego, estabelecimentos, massa salarial e salário médio, por atividade CNAE); valor adicionado por grandes setores; especialização produtiva (vantagem comparativa revelada); indicadores territoriais associados às cadeias prioritárias da Nova Indústria Brasil; indicadores de sustentabilidade (emissões setoriais e classificação de atividades verdes); e investimento contratado e anunciado por setor e localização. As chaves territoriais seguirão os códigos oficiais do IBGE, com desagregação preferencial por microrregião, e as chaves setoriais seguirão a CNAE 2.0.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Quadro 1. Bases de dados do painel.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000"/>
        <w:gridCol w:w="3099"/>
        <w:gridCol w:w="1702"/>
        <w:gridCol w:w="2224"/>
      </w:tblGrid>
      <w:tr>
        <w:trPr/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Base (fonte)</w:t>
            </w:r>
          </w:p>
        </w:tc>
        <w:tc>
          <w:tcPr>
            <w:tcW w:w="30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Conteúdo principal</w:t>
            </w:r>
          </w:p>
        </w:tc>
        <w:tc>
          <w:tcPr>
            <w:tcW w:w="17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Escala territorial</w:t>
            </w:r>
          </w:p>
        </w:tc>
        <w:tc>
          <w:tcPr>
            <w:tcW w:w="22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Uso no painel</w:t>
            </w:r>
          </w:p>
        </w:tc>
      </w:tr>
      <w:tr>
        <w:trPr/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RAIS (MTE)</w:t>
            </w:r>
          </w:p>
        </w:tc>
        <w:tc>
          <w:tcPr>
            <w:tcW w:w="30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Vínculos formais, massa salarial, escolaridade e ocupação, por estabelecimento</w:t>
            </w:r>
          </w:p>
        </w:tc>
        <w:tc>
          <w:tcPr>
            <w:tcW w:w="17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Município</w:t>
            </w:r>
          </w:p>
        </w:tc>
        <w:tc>
          <w:tcPr>
            <w:tcW w:w="22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Base central da composição setorial fina e da especialização</w:t>
            </w:r>
          </w:p>
        </w:tc>
      </w:tr>
      <w:tr>
        <w:trPr/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Novo CAGED (MTE)</w:t>
            </w:r>
          </w:p>
        </w:tc>
        <w:tc>
          <w:tcPr>
            <w:tcW w:w="30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Admissões e desligamentos formais</w:t>
            </w:r>
          </w:p>
        </w:tc>
        <w:tc>
          <w:tcPr>
            <w:tcW w:w="17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Município</w:t>
            </w:r>
          </w:p>
        </w:tc>
        <w:tc>
          <w:tcPr>
            <w:tcW w:w="22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Leitura conjuntural do emprego</w:t>
            </w:r>
          </w:p>
        </w:tc>
      </w:tr>
      <w:tr>
        <w:trPr/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CEMPRE (IBGE)</w:t>
            </w:r>
          </w:p>
        </w:tc>
        <w:tc>
          <w:tcPr>
            <w:tcW w:w="30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Empresas e unidades locais, pessoal ocupado</w:t>
            </w:r>
          </w:p>
        </w:tc>
        <w:tc>
          <w:tcPr>
            <w:tcW w:w="17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Município</w:t>
            </w:r>
          </w:p>
        </w:tc>
        <w:tc>
          <w:tcPr>
            <w:tcW w:w="22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Demografia empresarial</w:t>
            </w:r>
          </w:p>
        </w:tc>
      </w:tr>
      <w:tr>
        <w:trPr/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PIB dos Municípios e Contas Regionais (IBGE)</w:t>
            </w:r>
          </w:p>
        </w:tc>
        <w:tc>
          <w:tcPr>
            <w:tcW w:w="30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Valor adicionado bruto por grandes setores e por atividade em UF</w:t>
            </w:r>
          </w:p>
        </w:tc>
        <w:tc>
          <w:tcPr>
            <w:tcW w:w="17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Município e UF</w:t>
            </w:r>
          </w:p>
        </w:tc>
        <w:tc>
          <w:tcPr>
            <w:tcW w:w="22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Porte econômico e peso setorial</w:t>
            </w:r>
          </w:p>
        </w:tc>
      </w:tr>
      <w:tr>
        <w:trPr/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PNAD Contínua (IBGE)</w:t>
            </w:r>
          </w:p>
        </w:tc>
        <w:tc>
          <w:tcPr>
            <w:tcW w:w="30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Ocupação total, informalidade e rendimentos</w:t>
            </w:r>
          </w:p>
        </w:tc>
        <w:tc>
          <w:tcPr>
            <w:tcW w:w="17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UF</w:t>
            </w:r>
          </w:p>
        </w:tc>
        <w:tc>
          <w:tcPr>
            <w:tcW w:w="22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Contexto do mercado de trabalho ampliado</w:t>
            </w:r>
          </w:p>
        </w:tc>
      </w:tr>
      <w:tr>
        <w:trPr/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Comex Stat (MDIC)</w:t>
            </w:r>
          </w:p>
        </w:tc>
        <w:tc>
          <w:tcPr>
            <w:tcW w:w="30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Exportações e importações por produto</w:t>
            </w:r>
          </w:p>
        </w:tc>
        <w:tc>
          <w:tcPr>
            <w:tcW w:w="17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Município</w:t>
            </w:r>
          </w:p>
        </w:tc>
        <w:tc>
          <w:tcPr>
            <w:tcW w:w="22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Inserção externa e vocação exportadora</w:t>
            </w:r>
          </w:p>
        </w:tc>
      </w:tr>
      <w:tr>
        <w:trPr/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PIA, PAS e PAC (IBGE)</w:t>
            </w:r>
          </w:p>
        </w:tc>
        <w:tc>
          <w:tcPr>
            <w:tcW w:w="30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Estrutura da indústria, dos serviços e do comércio</w:t>
            </w:r>
          </w:p>
        </w:tc>
        <w:tc>
          <w:tcPr>
            <w:tcW w:w="17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UF</w:t>
            </w:r>
          </w:p>
        </w:tc>
        <w:tc>
          <w:tcPr>
            <w:tcW w:w="22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Aprofundamento setorial</w:t>
            </w:r>
          </w:p>
        </w:tc>
      </w:tr>
      <w:tr>
        <w:trPr/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SEEG</w:t>
            </w:r>
          </w:p>
        </w:tc>
        <w:tc>
          <w:tcPr>
            <w:tcW w:w="30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Emissões de gases de efeito estufa por setor</w:t>
            </w:r>
          </w:p>
        </w:tc>
        <w:tc>
          <w:tcPr>
            <w:tcW w:w="17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Município</w:t>
            </w:r>
          </w:p>
        </w:tc>
        <w:tc>
          <w:tcPr>
            <w:tcW w:w="22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Dimensão ambiental e descarbonização</w:t>
            </w:r>
          </w:p>
        </w:tc>
      </w:tr>
      <w:tr>
        <w:trPr/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ANEEL e EPE</w:t>
            </w:r>
          </w:p>
        </w:tc>
        <w:tc>
          <w:tcPr>
            <w:tcW w:w="30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Capacidade instalada e geração de energia por fonte</w:t>
            </w:r>
          </w:p>
        </w:tc>
        <w:tc>
          <w:tcPr>
            <w:tcW w:w="17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Município</w:t>
            </w:r>
          </w:p>
        </w:tc>
        <w:tc>
          <w:tcPr>
            <w:tcW w:w="22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Infraestrutura e transição energética</w:t>
            </w:r>
          </w:p>
        </w:tc>
      </w:tr>
      <w:tr>
        <w:trPr/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BNDES (dados abertos)</w:t>
            </w:r>
          </w:p>
        </w:tc>
        <w:tc>
          <w:tcPr>
            <w:tcW w:w="30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Operações de financiamento contratadas</w:t>
            </w:r>
          </w:p>
        </w:tc>
        <w:tc>
          <w:tcPr>
            <w:tcW w:w="17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Município</w:t>
            </w:r>
          </w:p>
        </w:tc>
        <w:tc>
          <w:tcPr>
            <w:tcW w:w="22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Crédito e investimento produtivo</w:t>
            </w:r>
          </w:p>
        </w:tc>
      </w:tr>
      <w:tr>
        <w:trPr/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BNB (FNE)</w:t>
            </w:r>
          </w:p>
        </w:tc>
        <w:tc>
          <w:tcPr>
            <w:tcW w:w="30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Contratações do FNE (valor, porte, setor, programa)</w:t>
            </w:r>
          </w:p>
        </w:tc>
        <w:tc>
          <w:tcPr>
            <w:tcW w:w="17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Município</w:t>
            </w:r>
          </w:p>
        </w:tc>
        <w:tc>
          <w:tcPr>
            <w:tcW w:w="22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Principal instrumento regional de crédito</w:t>
            </w:r>
          </w:p>
        </w:tc>
      </w:tr>
      <w:tr>
        <w:trPr/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FINEP</w:t>
            </w:r>
          </w:p>
        </w:tc>
        <w:tc>
          <w:tcPr>
            <w:tcW w:w="30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Projetos contratados (valor, área temática)</w:t>
            </w:r>
          </w:p>
        </w:tc>
        <w:tc>
          <w:tcPr>
            <w:tcW w:w="17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UF e instituição</w:t>
            </w:r>
          </w:p>
        </w:tc>
        <w:tc>
          <w:tcPr>
            <w:tcW w:w="22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Presença da inovação na região</w:t>
            </w:r>
          </w:p>
        </w:tc>
      </w:tr>
      <w:tr>
        <w:trPr/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RENAI (MDIC) e imprensa especializada</w:t>
            </w:r>
          </w:p>
        </w:tc>
        <w:tc>
          <w:tcPr>
            <w:tcW w:w="30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Anúncios de investimento (valor, setor, estágio)</w:t>
            </w:r>
          </w:p>
        </w:tc>
        <w:tc>
          <w:tcPr>
            <w:tcW w:w="17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Município</w:t>
            </w:r>
          </w:p>
        </w:tc>
        <w:tc>
          <w:tcPr>
            <w:tcW w:w="22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Expectativas de investimento e pipeline produtivo</w:t>
            </w:r>
          </w:p>
        </w:tc>
      </w:tr>
      <w:tr>
        <w:trPr/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Documentos da NIB, do PTE e do Plano Brasil 2050</w:t>
            </w:r>
          </w:p>
        </w:tc>
        <w:tc>
          <w:tcPr>
            <w:tcW w:w="30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Cadeias prioritárias, missões e diretrizes</w:t>
            </w:r>
          </w:p>
        </w:tc>
        <w:tc>
          <w:tcPr>
            <w:tcW w:w="17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Nacional e regional</w:t>
            </w:r>
          </w:p>
        </w:tc>
        <w:tc>
          <w:tcPr>
            <w:tcW w:w="22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Classificação das atividades segundo as macropolíticas</w:t>
            </w:r>
          </w:p>
        </w:tc>
      </w:tr>
    </w:tbl>
    <w:p>
      <w:pPr>
        <w:pStyle w:val="Heading1"/>
        <w:spacing w:before="0" w:after="1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</w:r>
    </w:p>
    <w:p>
      <w:pPr>
        <w:pStyle w:val="Heading1"/>
        <w:spacing w:before="0" w:after="1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5. Etapas do projeto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O projeto está organizado em três etapas, detalhadas a seguir com as boas práticas correspondentes.</w:t>
      </w:r>
    </w:p>
    <w:p>
      <w:pPr>
        <w:pStyle w:val="Heading2"/>
        <w:spacing w:before="0" w:after="1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</w:r>
    </w:p>
    <w:p>
      <w:pPr>
        <w:pStyle w:val="Heading2"/>
        <w:spacing w:before="0" w:after="1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5.1. Etapa 1: Aquisição e preparação dos dados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 primeira etapa estrutura o fluxo de dados (pipeline) que alimentará o painel, seguindo práticas de engenharia de dados reprodutível: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a) Extração automatizada: </w:t>
      </w:r>
      <w:r>
        <w:rPr>
          <w:rFonts w:ascii="Garamond" w:hAnsi="Garamond"/>
          <w:sz w:val="24"/>
          <w:szCs w:val="24"/>
        </w:rPr>
        <w:t>scripts de download das bases relacionadas no Quadro 1, com registro de data, versão e origem de cada extração;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b) Organização em camadas: </w:t>
      </w:r>
      <w:r>
        <w:rPr>
          <w:rFonts w:ascii="Garamond" w:hAnsi="Garamond"/>
          <w:sz w:val="24"/>
          <w:szCs w:val="24"/>
        </w:rPr>
        <w:t>separação entre dados brutos, dados padronizados e tabelas analíticas prontas para consumo do painel, permitindo auditoria e reprocessamento;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c) Padronização: </w:t>
      </w:r>
      <w:r>
        <w:rPr>
          <w:rFonts w:ascii="Garamond" w:hAnsi="Garamond"/>
          <w:sz w:val="24"/>
          <w:szCs w:val="24"/>
        </w:rPr>
        <w:t>harmonização de chaves territoriais (códigos IBGE de município e microrregião) e setoriais (CNAE 2.0), com dicionário de variáveis e metadados documentados, alinhados aos padrões do Observatório da NIB no Nordeste;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d) Formatos abertos: </w:t>
      </w:r>
      <w:r>
        <w:rPr>
          <w:rFonts w:ascii="Garamond" w:hAnsi="Garamond"/>
          <w:sz w:val="24"/>
          <w:szCs w:val="24"/>
        </w:rPr>
        <w:t>armazenamento em Parquet e CSV, com versionamento do código em repositório Git;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e) Qualidade de dados: </w:t>
      </w:r>
      <w:r>
        <w:rPr>
          <w:rFonts w:ascii="Garamond" w:hAnsi="Garamond"/>
          <w:sz w:val="24"/>
          <w:szCs w:val="24"/>
        </w:rPr>
        <w:t>testes automatizados de integridade (totais contra fontes oficiais, cobertura territorial, consistência temporal das séries, valores atípicos), executados a cada atualização.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Produto da etapa: </w:t>
      </w:r>
      <w:r>
        <w:rPr>
          <w:rFonts w:ascii="Garamond" w:hAnsi="Garamond"/>
          <w:sz w:val="24"/>
          <w:szCs w:val="24"/>
        </w:rPr>
        <w:t>repositório com o pipeline documentado e a base analítica pronta para consumo do painel.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</w:r>
    </w:p>
    <w:p>
      <w:pPr>
        <w:pStyle w:val="Heading2"/>
        <w:spacing w:before="0" w:after="1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5.2. Etapa 2: Proposta de visualização e implementação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 segunda etapa desenha e constrói o painel, separando a pactuação do desenho da implementação propriamente dita: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a) Requisitos e públicos: </w:t>
      </w:r>
      <w:r>
        <w:rPr>
          <w:rFonts w:ascii="Garamond" w:hAnsi="Garamond"/>
          <w:sz w:val="24"/>
          <w:szCs w:val="24"/>
        </w:rPr>
        <w:t>levantamento de requisitos com a equipe do DataNordeste e usuários da SUDENE, definindo os públicos prioritários (gestores, técnicos, pesquisadores, imprensa e cidadãos);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b) Arquitetura da informação: </w:t>
      </w:r>
      <w:r>
        <w:rPr>
          <w:rFonts w:ascii="Garamond" w:hAnsi="Garamond"/>
          <w:sz w:val="24"/>
          <w:szCs w:val="24"/>
        </w:rPr>
        <w:t>especificação dos módulos do painel, em proposta preliminar: panorama regional; composição setorial por microrregião, com mapas e rankings; indicadores territoriais das cadeias prioritárias da NIB; investimentos contratados e anunciados; e área de download dos dados abertos;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c) Protótipo: </w:t>
      </w:r>
      <w:r>
        <w:rPr>
          <w:rFonts w:ascii="Garamond" w:hAnsi="Garamond"/>
          <w:sz w:val="24"/>
          <w:szCs w:val="24"/>
        </w:rPr>
        <w:t>elaboração de protótipo navegável de baixa fidelidade (wireframes) para validação com a SUDENE antes da implementação, reduzindo retrabalho;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d) Identidade visual: </w:t>
      </w:r>
      <w:r>
        <w:rPr>
          <w:rFonts w:ascii="Garamond" w:hAnsi="Garamond"/>
          <w:sz w:val="24"/>
          <w:szCs w:val="24"/>
        </w:rPr>
        <w:t>aderência à identidade do DataNordeste, utilizando a logomarca oficial (arquivo logo_datanordeste.svg, que acompanha este plano) e paleta derivada dela (verde institucional #009046, cinza #514C50 e acentos dos elementos gráficos coloridos);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e) Implementação incremental: </w:t>
      </w:r>
      <w:r>
        <w:rPr>
          <w:rFonts w:ascii="Garamond" w:hAnsi="Garamond"/>
          <w:sz w:val="24"/>
          <w:szCs w:val="24"/>
        </w:rPr>
        <w:t>desenvolvimento por módulos, com revisões quinzenais junto à equipe do DataNordeste, observando responsividade para dispositivos móveis, acessibilidade (diretrizes WCAG, paletas seguras para daltonismo, textos alternativos) e desempenho de carregamento.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Produto da etapa: </w:t>
      </w:r>
      <w:r>
        <w:rPr>
          <w:rFonts w:ascii="Garamond" w:hAnsi="Garamond"/>
          <w:sz w:val="24"/>
          <w:szCs w:val="24"/>
        </w:rPr>
        <w:t>painel implementado em ambiente de homologação.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</w:r>
    </w:p>
    <w:p>
      <w:pPr>
        <w:pStyle w:val="Heading2"/>
        <w:spacing w:before="0" w:after="1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5.3. Etapa 3: Validação e publicação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 terceira etapa assegura a correção, a usabilidade e a sustentabilidade da ferramenta: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a) Validação técnica: </w:t>
      </w:r>
      <w:r>
        <w:rPr>
          <w:rFonts w:ascii="Garamond" w:hAnsi="Garamond"/>
          <w:sz w:val="24"/>
          <w:szCs w:val="24"/>
        </w:rPr>
        <w:t>conferência sistemática dos números exibidos contra as fontes oficiais e testes de regressão do pipeline;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b) Validação com usuários: </w:t>
      </w:r>
      <w:r>
        <w:rPr>
          <w:rFonts w:ascii="Garamond" w:hAnsi="Garamond"/>
          <w:sz w:val="24"/>
          <w:szCs w:val="24"/>
        </w:rPr>
        <w:t>sessões guiadas de uso com técnicos da SUDENE e do DataNordeste, com registro estruturado e priorização dos ajustes;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c) Homologação e publicação: </w:t>
      </w:r>
      <w:r>
        <w:rPr>
          <w:rFonts w:ascii="Garamond" w:hAnsi="Garamond"/>
          <w:sz w:val="24"/>
          <w:szCs w:val="24"/>
        </w:rPr>
        <w:t>testes de compatibilidade (navegadores e dispositivos móveis), homologação com a equipe do portal e a área de tecnologia da SUDENE e publicação no endereço definitivo;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d) Operação assistida: </w:t>
      </w:r>
      <w:r>
        <w:rPr>
          <w:rFonts w:ascii="Garamond" w:hAnsi="Garamond"/>
          <w:sz w:val="24"/>
          <w:szCs w:val="24"/>
        </w:rPr>
        <w:t>após a publicação, período de acompanhamento em produção, com execução de ao menos um ciclo completo de atualização dos dados, monitoramento de uso e de desempenho e incorporação de ajustes finos e melhorias solicitadas pelos usuários;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e) Documentação e sustentabilidade: </w:t>
      </w:r>
      <w:r>
        <w:rPr>
          <w:rFonts w:ascii="Garamond" w:hAnsi="Garamond"/>
          <w:sz w:val="24"/>
          <w:szCs w:val="24"/>
        </w:rPr>
        <w:t>manual de atualização, guia do repositório e plano de manutenção com rotina periódica de atualização dos dados, pactuada com a SUDENE, incluindo transferência de conhecimento à equipe do portal.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Produto da etapa: </w:t>
      </w:r>
      <w:r>
        <w:rPr>
          <w:rFonts w:ascii="Garamond" w:hAnsi="Garamond"/>
          <w:sz w:val="24"/>
          <w:szCs w:val="24"/>
        </w:rPr>
        <w:t>painel publicado no DataNordeste, com ciclo de atualização executado, documentação completa e rotina de manutenção estabelecida.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</w:r>
    </w:p>
    <w:p>
      <w:pPr>
        <w:pStyle w:val="Heading1"/>
        <w:spacing w:before="0" w:after="1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6. Tecnologias propostas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Todas as tecnologias propostas são livres e gratuitas, sem custos de licença, atendendo à restrição de não utilização de ferramentas proprietárias de business intelligence. A recomendação central é a arquitetura de painel estático: o processamento pesado ocorre no pipeline, e o painel é publicado como arquivos HTML e JavaScript estáticos, com interatividade no navegador. Essa arquitetura dispensa servidor de aplicação dedicado, simplifica a integração ao portal DataNordeste, reduz custos de manutenção e superfície de segurança, e é a opção mais durável para hospedagem em ambiente governamental.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198"/>
        <w:gridCol w:w="3302"/>
        <w:gridCol w:w="3526"/>
      </w:tblGrid>
      <w:tr>
        <w:trPr/>
        <w:tc>
          <w:tcPr>
            <w:tcW w:w="21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Camada</w:t>
            </w:r>
          </w:p>
        </w:tc>
        <w:tc>
          <w:tcPr>
            <w:tcW w:w="33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Tecnologia proposta</w:t>
            </w:r>
          </w:p>
        </w:tc>
        <w:tc>
          <w:tcPr>
            <w:tcW w:w="35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Justificativa</w:t>
            </w:r>
          </w:p>
        </w:tc>
      </w:tr>
      <w:tr>
        <w:trPr/>
        <w:tc>
          <w:tcPr>
            <w:tcW w:w="21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Preparação de dados</w:t>
            </w:r>
          </w:p>
        </w:tc>
        <w:tc>
          <w:tcPr>
            <w:tcW w:w="33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Python (pandas) e DuckDB</w:t>
            </w:r>
          </w:p>
        </w:tc>
        <w:tc>
          <w:tcPr>
            <w:tcW w:w="35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Ferramentas de código aberto consolidadas para tratamento eficiente de bases volumosas</w:t>
            </w:r>
          </w:p>
        </w:tc>
      </w:tr>
      <w:tr>
        <w:trPr/>
        <w:tc>
          <w:tcPr>
            <w:tcW w:w="21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Armazenamento analítico</w:t>
            </w:r>
          </w:p>
        </w:tc>
        <w:tc>
          <w:tcPr>
            <w:tcW w:w="33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Parquet e CSV</w:t>
            </w:r>
          </w:p>
        </w:tc>
        <w:tc>
          <w:tcPr>
            <w:tcW w:w="35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Formatos abertos, compactos e interoperáveis</w:t>
            </w:r>
          </w:p>
        </w:tc>
      </w:tr>
      <w:tr>
        <w:trPr/>
        <w:tc>
          <w:tcPr>
            <w:tcW w:w="21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Versionamento e colaboração</w:t>
            </w:r>
          </w:p>
        </w:tc>
        <w:tc>
          <w:tcPr>
            <w:tcW w:w="33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Git (GitHub ou GitLab)</w:t>
            </w:r>
          </w:p>
        </w:tc>
        <w:tc>
          <w:tcPr>
            <w:tcW w:w="35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Rastreabilidade do código, revisão e automação de builds</w:t>
            </w:r>
          </w:p>
        </w:tc>
      </w:tr>
      <w:tr>
        <w:trPr/>
        <w:tc>
          <w:tcPr>
            <w:tcW w:w="21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Construção do painel</w:t>
            </w:r>
          </w:p>
        </w:tc>
        <w:tc>
          <w:tcPr>
            <w:tcW w:w="33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Observable Framework ou Quarto Dashboards</w:t>
            </w:r>
          </w:p>
        </w:tc>
        <w:tc>
          <w:tcPr>
            <w:tcW w:w="35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Geradores livres de painéis estáticos, publicáveis no portal sem servidor de aplicação</w:t>
            </w:r>
          </w:p>
        </w:tc>
      </w:tr>
      <w:tr>
        <w:trPr/>
        <w:tc>
          <w:tcPr>
            <w:tcW w:w="21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Bibliotecas de gráficos</w:t>
            </w:r>
          </w:p>
        </w:tc>
        <w:tc>
          <w:tcPr>
            <w:tcW w:w="33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Observable Plot, Apache ECharts ou Plotly.js</w:t>
            </w:r>
          </w:p>
        </w:tc>
        <w:tc>
          <w:tcPr>
            <w:tcW w:w="35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Bibliotecas livres, interativas e maduras</w:t>
            </w:r>
          </w:p>
        </w:tc>
      </w:tr>
      <w:tr>
        <w:trPr/>
        <w:tc>
          <w:tcPr>
            <w:tcW w:w="21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Consultas no navegador</w:t>
            </w:r>
          </w:p>
        </w:tc>
        <w:tc>
          <w:tcPr>
            <w:tcW w:w="33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DuckDB-WASM sobre Parquet</w:t>
            </w:r>
          </w:p>
        </w:tc>
        <w:tc>
          <w:tcPr>
            <w:tcW w:w="35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Filtros e cruzamentos no lado do cliente, sem backend</w:t>
            </w:r>
          </w:p>
        </w:tc>
      </w:tr>
      <w:tr>
        <w:trPr/>
        <w:tc>
          <w:tcPr>
            <w:tcW w:w="21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Mapas</w:t>
            </w:r>
          </w:p>
        </w:tc>
        <w:tc>
          <w:tcPr>
            <w:tcW w:w="33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MapLibre GL ou Leaflet, com malhas territoriais do IBGE (GeoJSON/TopoJSON)</w:t>
            </w:r>
          </w:p>
        </w:tc>
        <w:tc>
          <w:tcPr>
            <w:tcW w:w="35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Mapas interativos livres, com as divisões municipais e microrregionais oficiais</w:t>
            </w:r>
          </w:p>
        </w:tc>
      </w:tr>
      <w:tr>
        <w:trPr/>
        <w:tc>
          <w:tcPr>
            <w:tcW w:w="21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Alternativa com servidor</w:t>
            </w:r>
          </w:p>
        </w:tc>
        <w:tc>
          <w:tcPr>
            <w:tcW w:w="33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Streamlit ou Shiny (Python); Apache Superset ou Metabase</w:t>
            </w:r>
          </w:p>
        </w:tc>
        <w:tc>
          <w:tcPr>
            <w:tcW w:w="35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Opções livres caso a área de tecnologia da SUDENE disponibilize infraestrutura de aplicação (containers)</w:t>
            </w:r>
          </w:p>
        </w:tc>
      </w:tr>
    </w:tbl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 decisão final entre a arquitetura estática (recomendada) e a alternativa com servidor de aplicação deverá ser pactuada com a área de tecnologia da SUDENE, conforme as condições de hospedagem do portal DataNordeste.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</w:r>
    </w:p>
    <w:p>
      <w:pPr>
        <w:pStyle w:val="Heading1"/>
        <w:spacing w:before="0" w:after="1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7. Boas práticas transversais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O projeto observará, de forma transversal: reprodutibilidade integral (código, dados e documentação versionados, permitindo reconstruir o painel do zero); transparência metodológica (notas de método acessíveis no próprio painel, com fontes e datas de atualização visíveis em cada visualização); dados abertos (disponibilização das tabelas tratadas para download); acessibilidade e responsividade; e conformidade com a LGPD, com uso exclusivo de dados agregados e públicos, sem exposição de microdados identificados.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</w:r>
    </w:p>
    <w:p>
      <w:pPr>
        <w:pStyle w:val="Heading1"/>
        <w:spacing w:before="0" w:after="1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8. Entregas e cronograma indicativo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O projeto terá duração de 12 meses. O cronograma é apresentado em meses relativos ao início, a converter em datas quando o calendário for pactuado com a SUDENE. A Etapa 1 ocupa os meses 1 a 3; a Etapa 2, os meses 3 a 8; e a Etapa 3, os meses 8 a 12, incluindo o período de operação assistida após a publicação.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700"/>
        <w:gridCol w:w="4200"/>
        <w:gridCol w:w="1799"/>
        <w:gridCol w:w="2326"/>
      </w:tblGrid>
      <w:tr>
        <w:trPr/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Entrega</w:t>
            </w:r>
          </w:p>
        </w:tc>
        <w:tc>
          <w:tcPr>
            <w:tcW w:w="1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Etapa</w:t>
            </w:r>
          </w:p>
        </w:tc>
        <w:tc>
          <w:tcPr>
            <w:tcW w:w="2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Prazo indicativo</w:t>
            </w:r>
          </w:p>
        </w:tc>
      </w:tr>
      <w:tr>
        <w:trPr/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P1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Pipeline de aquisição e preparação implementado, com base analítica documentada e testes de qualidade em operação</w:t>
            </w:r>
          </w:p>
        </w:tc>
        <w:tc>
          <w:tcPr>
            <w:tcW w:w="1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Etapa 1</w:t>
            </w:r>
          </w:p>
        </w:tc>
        <w:tc>
          <w:tcPr>
            <w:tcW w:w="2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Mês 3</w:t>
            </w:r>
          </w:p>
        </w:tc>
      </w:tr>
      <w:tr>
        <w:trPr/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P2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Proposta de visualização com protótipo navegável pactuado com a SUDENE</w:t>
            </w:r>
          </w:p>
        </w:tc>
        <w:tc>
          <w:tcPr>
            <w:tcW w:w="1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Etapa 2</w:t>
            </w:r>
          </w:p>
        </w:tc>
        <w:tc>
          <w:tcPr>
            <w:tcW w:w="2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Mês 5</w:t>
            </w:r>
          </w:p>
        </w:tc>
      </w:tr>
      <w:tr>
        <w:trPr/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P3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Painel implementado em ambiente de homologação, com todos os módulos</w:t>
            </w:r>
          </w:p>
        </w:tc>
        <w:tc>
          <w:tcPr>
            <w:tcW w:w="1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Etapa 2</w:t>
            </w:r>
          </w:p>
        </w:tc>
        <w:tc>
          <w:tcPr>
            <w:tcW w:w="2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Mês 8</w:t>
            </w:r>
          </w:p>
        </w:tc>
      </w:tr>
      <w:tr>
        <w:trPr/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P4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Painel validado e publicado no DataNordeste</w:t>
            </w:r>
          </w:p>
        </w:tc>
        <w:tc>
          <w:tcPr>
            <w:tcW w:w="1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Etapa 3</w:t>
            </w:r>
          </w:p>
        </w:tc>
        <w:tc>
          <w:tcPr>
            <w:tcW w:w="2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Mês 10</w:t>
            </w:r>
          </w:p>
        </w:tc>
      </w:tr>
      <w:tr>
        <w:trPr/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P5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Relatório final: ciclo de atualização executado em produção, documentação completa, rotina de manutenção pactuada e transferência de conhecimento realizada</w:t>
            </w:r>
          </w:p>
        </w:tc>
        <w:tc>
          <w:tcPr>
            <w:tcW w:w="1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Etapa 3</w:t>
            </w:r>
          </w:p>
        </w:tc>
        <w:tc>
          <w:tcPr>
            <w:tcW w:w="2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widowControl w:val="false"/>
              <w:spacing w:before="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Mês 12</w:t>
            </w:r>
          </w:p>
        </w:tc>
      </w:tr>
    </w:tbl>
    <w:p>
      <w:pPr>
        <w:pStyle w:val="Heading1"/>
        <w:spacing w:before="0" w:after="1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</w:r>
    </w:p>
    <w:p>
      <w:pPr>
        <w:pStyle w:val="Heading1"/>
        <w:spacing w:before="0" w:after="1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9. Articulação institucional</w:t>
      </w:r>
    </w:p>
    <w:p>
      <w:pPr>
        <w:pStyle w:val="Normal"/>
        <w:spacing w:before="0" w:after="1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O projeto manterá duas frentes principais de articulação. A primeira, com o Observatório da Nova Indústria Brasil no Nordeste, cuja base de dados e indicadores o painel visualiza: serão compartilhados repositório, dicionário de variáveis, padrões de compatibilização e rotinas de atualização, assegurando interoperabilidade e evitando duplicação de esforços. A segunda, com a equipe do portal DataNordeste e a área de tecnologia da SUDENE, responsáveis pela integração técnica, pela identidade visual e pela publicação da ferramenta.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amond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sz w:val="18"/>
        <w:szCs w:val="18"/>
        <w:color w:val="666666"/>
      </w:rPr>
      <w:instrText xml:space="preserve"> PAGE </w:instrText>
    </w:r>
    <w:r>
      <w:rPr>
        <w:sz w:val="18"/>
        <w:szCs w:val="18"/>
        <w:color w:val="666666"/>
      </w:rPr>
      <w:fldChar w:fldCharType="separate"/>
    </w:r>
    <w:r>
      <w:rPr>
        <w:sz w:val="18"/>
        <w:szCs w:val="18"/>
        <w:color w:val="666666"/>
      </w:rPr>
      <w:t>8</w:t>
    </w:r>
    <w:r>
      <w:rPr>
        <w:sz w:val="18"/>
        <w:szCs w:val="18"/>
        <w:color w:val="66666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sz w:val="18"/>
        <w:szCs w:val="18"/>
        <w:color w:val="666666"/>
      </w:rPr>
      <w:instrText xml:space="preserve"> PAGE </w:instrText>
    </w:r>
    <w:r>
      <w:rPr>
        <w:sz w:val="18"/>
        <w:szCs w:val="18"/>
        <w:color w:val="666666"/>
      </w:rPr>
      <w:fldChar w:fldCharType="separate"/>
    </w:r>
    <w:r>
      <w:rPr>
        <w:sz w:val="18"/>
        <w:szCs w:val="18"/>
        <w:color w:val="666666"/>
      </w:rPr>
      <w:t>8</w:t>
    </w:r>
    <w:r>
      <w:rPr>
        <w:sz w:val="18"/>
        <w:szCs w:val="18"/>
        <w:color w:val="666666"/>
      </w:rPr>
      <w:fldChar w:fldCharType="end"/>
    </w:r>
  </w:p>
</w:ftr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BR" w:eastAsia="en-US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320" w:after="160"/>
      <w:jc w:val="left"/>
      <w:outlineLvl w:val="0"/>
    </w:pPr>
    <w:rPr>
      <w:rFonts w:ascii="Arial" w:hAnsi="Arial" w:eastAsia="Arial" w:cs="Arial"/>
      <w:b/>
      <w:bCs/>
      <w:color w:val="000000"/>
      <w:kern w:val="0"/>
      <w:sz w:val="26"/>
      <w:szCs w:val="26"/>
      <w:lang w:val="en-BR" w:eastAsia="en-US" w:bidi="ar-SA"/>
    </w:rPr>
  </w:style>
  <w:style w:type="paragraph" w:styleId="Heading2">
    <w:name w:val="Heading 2"/>
    <w:uiPriority w:val="9"/>
    <w:unhideWhenUsed/>
    <w:qFormat/>
    <w:pPr>
      <w:widowControl/>
      <w:suppressAutoHyphens w:val="true"/>
      <w:bidi w:val="0"/>
      <w:spacing w:before="220" w:after="120"/>
      <w:jc w:val="left"/>
      <w:outlineLvl w:val="1"/>
    </w:pPr>
    <w:rPr>
      <w:rFonts w:ascii="Arial" w:hAnsi="Arial" w:eastAsia="Arial" w:cs="Arial"/>
      <w:b/>
      <w:bCs/>
      <w:color w:val="000000"/>
      <w:kern w:val="0"/>
      <w:sz w:val="22"/>
      <w:szCs w:val="22"/>
      <w:lang w:val="en-BR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2"/>
    </w:pPr>
    <w:rPr>
      <w:rFonts w:ascii="Arial" w:hAnsi="Arial" w:eastAsia="Arial" w:cs="Arial"/>
      <w:color w:val="1F4D78"/>
      <w:kern w:val="0"/>
      <w:sz w:val="24"/>
      <w:szCs w:val="24"/>
      <w:lang w:val="en-BR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en-BR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4"/>
    </w:pPr>
    <w:rPr>
      <w:rFonts w:ascii="Arial" w:hAnsi="Arial" w:eastAsia="Arial" w:cs="Arial"/>
      <w:color w:val="2E74B5"/>
      <w:kern w:val="0"/>
      <w:sz w:val="22"/>
      <w:szCs w:val="22"/>
      <w:lang w:val="en-BR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5"/>
    </w:pPr>
    <w:rPr>
      <w:rFonts w:ascii="Arial" w:hAnsi="Arial" w:eastAsia="Arial" w:cs="Arial"/>
      <w:color w:val="1F4D78"/>
      <w:kern w:val="0"/>
      <w:sz w:val="22"/>
      <w:szCs w:val="22"/>
      <w:lang w:val="en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56"/>
      <w:szCs w:val="56"/>
      <w:lang w:val="en-BR" w:eastAsia="en-US" w:bidi="ar-SA"/>
    </w:rPr>
  </w:style>
  <w:style w:type="paragraph" w:styleId="Strong1" w:customStyle="1">
    <w:name w:val="Strong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BR" w:eastAsia="en-US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BR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BR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BR" w:eastAsia="en-US" w:bidi="ar-SA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Footer">
    <w:name w:val="Footer"/>
    <w:basedOn w:val="CabealhoeRodap"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8</Pages>
  <Words>1934</Words>
  <Characters>11846</Characters>
  <CharactersWithSpaces>13606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2026-07-27T14:00:00Z</dcterms:created>
  <dc:creator>Un-named</dc:creator>
  <dc:description/>
  <dc:language>pt-BR</dc:language>
  <cp:lastModifiedBy>Elton Freitas</cp:lastModifiedBy>
  <dcterms:modified xsi:type="dcterms:W3CDTF">2026-07-27T14:21:00Z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