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Política de Comissionamento 360º</w:t>
      </w:r>
    </w:p>
    <w:p>
      <w:pPr>
        <w:spacing w:after="40"/>
      </w:pPr>
      <w:r>
        <w:rPr>
          <w:b/>
          <w:bCs/>
          <w:color w:val="2E75B6"/>
          <w:sz w:val="26"/>
          <w:szCs w:val="26"/>
        </w:rPr>
        <w:t xml:space="preserve">Farmácia Geremias</w:t>
      </w:r>
    </w:p>
    <w:p>
      <w:pPr>
        <w:spacing w:after="60"/>
      </w:pPr>
      <w:r>
        <w:rPr>
          <w:i/>
          <w:iCs/>
          <w:color w:val="595959"/>
          <w:sz w:val="22"/>
          <w:szCs w:val="22"/>
        </w:rPr>
        <w:t xml:space="preserve">Documento para apreciação da Diretoria</w:t>
      </w:r>
    </w:p>
    <w:p>
      <w:pPr>
        <w:pBdr>
          <w:bottom w:val="single" w:color="1F3864" w:sz="12" w:space="6"/>
        </w:pBdr>
        <w:spacing w:after="160"/>
      </w:pPr>
      <w:r>
        <w:rPr>
          <w:color w:val="595959"/>
          <w:sz w:val="18"/>
          <w:szCs w:val="18"/>
        </w:rPr>
        <w:t xml:space="preserve">Versão 1.0  ·  Julho / 2026  ·  Uso interno</w:t>
      </w:r>
    </w:p>
    <w:p>
      <w:pPr>
        <w:pStyle w:val="Heading1"/>
      </w:pPr>
      <w:r>
        <w:t xml:space="preserve">1. Por que esta política</w:t>
      </w:r>
    </w:p>
    <w:p>
      <w:pPr>
        <w:spacing w:after="120" w:line="276"/>
        <w:jc w:val="both"/>
      </w:pPr>
      <w:r>
        <w:t xml:space="preserve">A Geremias vive hoje um paradoxo: a rede tem margem bruta saudável — cerca de 33% —, mas o caixa é curto. O lucro existe no papel e se perde em dois pontos. Uma parte está imobilizada em estoque parado (aproximadamente R$ 224 mil, um quarto de todo o estoque). A outra, e a mais silenciosa, escapa no desconto dado no balcão, que hoje consome quase todo o resultado. Em resumo: a rede ganha na compra e na margem, e devolve boa parte desse ganho na ponta, uma venda de cada vez.</w:t>
      </w:r>
    </w:p>
    <w:p>
      <w:pPr>
        <w:spacing w:after="120" w:line="276"/>
        <w:jc w:val="both"/>
      </w:pPr>
      <w:r>
        <w:t xml:space="preserve">O modelo de comissão atual, baseado apenas no volume que cada colaborador vende, </w:t>
      </w:r>
      <w:r>
        <w:rPr>
          <w:b/>
          <w:bCs/>
        </w:rPr>
        <w:t xml:space="preserve">agrava esse quadro</w:t>
      </w:r>
      <w:r>
        <w:t xml:space="preserve">. Ao premiar somente “vender mais”, ele estimula justamente os comportamentos que corroem o caixa: dar desconto para fechar a venda, empurrar o produto de margem baixa e competir com o colega em vez de somar ao resultado da loja.</w:t>
      </w:r>
    </w:p>
    <w:p>
      <w:pPr>
        <w:spacing w:after="60" w:line="276"/>
        <w:jc w:val="both"/>
      </w:pPr>
      <w:r>
        <w:t xml:space="preserve">Esta política corrige essa rota. Ela transforma a comissão de um custo que premia volume em uma </w:t>
      </w:r>
      <w:r>
        <w:rPr>
          <w:b/>
          <w:bCs/>
        </w:rPr>
        <w:t xml:space="preserve">ferramenta de gestão</w:t>
      </w:r>
      <w:r>
        <w:t xml:space="preserve"> que premia margem, mix e trabalho coletivo — sem aumentar a folha. Em uma frase: </w:t>
      </w:r>
      <w:r>
        <w:rPr>
          <w:b/>
          <w:bCs/>
        </w:rPr>
        <w:t xml:space="preserve">passamos a pagar melhor quem vende bem, não apenas quem vende muito.</w:t>
      </w:r>
    </w:p>
    <w:p>
      <w:pPr>
        <w:pStyle w:val="Heading1"/>
      </w:pPr>
      <w:r>
        <w:t xml:space="preserve">2. O que a política faz (visão geral)</w:t>
      </w:r>
    </w:p>
    <w:p>
      <w:pPr>
        <w:spacing w:after="60" w:line="276"/>
        <w:jc w:val="both"/>
      </w:pPr>
      <w:r>
        <w:t xml:space="preserve">A remuneração variável passa a ser formada por três blocos que se somam:</w:t>
      </w:r>
    </w:p>
    <w:p>
      <w:pPr>
        <w:pStyle w:val="ListParagraph"/>
        <w:numPr>
          <w:ilvl w:val="0"/>
          <w:numId w:val="2"/>
        </w:numPr>
        <w:spacing w:after="60" w:line="268"/>
        <w:jc w:val="left"/>
      </w:pPr>
      <w:r>
        <w:rPr>
          <w:b/>
          <w:bCs/>
        </w:rPr>
        <w:t xml:space="preserve">Comissão por categoria</w:t>
      </w:r>
      <w:r>
        <w:t xml:space="preserve"> — o colaborador comissiona sobre o que vende, por linha de produto. É a base do ganho, e é protegida.</w:t>
      </w:r>
    </w:p>
    <w:p>
      <w:pPr>
        <w:pStyle w:val="ListParagraph"/>
        <w:numPr>
          <w:ilvl w:val="0"/>
          <w:numId w:val="2"/>
        </w:numPr>
        <w:spacing w:after="60" w:line="268"/>
        <w:jc w:val="left"/>
      </w:pPr>
      <w:r>
        <w:rPr>
          <w:b/>
          <w:bCs/>
        </w:rPr>
        <w:t xml:space="preserve">Desempenho 360º</w:t>
      </w:r>
      <w:r>
        <w:t xml:space="preserve"> — uma nota de 0 a 100 que mede como o colaborador trabalhou (resultado próprio, resultado da loja, rentabilidade e equipe) e vira um multiplicador da comissão.</w:t>
      </w:r>
    </w:p>
    <w:p>
      <w:pPr>
        <w:pStyle w:val="ListParagraph"/>
        <w:numPr>
          <w:ilvl w:val="0"/>
          <w:numId w:val="2"/>
        </w:numPr>
        <w:spacing w:after="60" w:line="268"/>
        <w:jc w:val="left"/>
      </w:pPr>
      <w:r>
        <w:rPr>
          <w:b/>
          <w:bCs/>
        </w:rPr>
        <w:t xml:space="preserve">Prêmio de filial</w:t>
      </w:r>
      <w:r>
        <w:t xml:space="preserve"> — quando a loja bate a meta do mês, toda a equipe da filial recebe um valor fixo.</w:t>
      </w:r>
    </w:p>
    <w:p>
      <w:pPr>
        <w:spacing w:after="60"/>
      </w:pPr>
    </w:p>
    <w:tbl>
      <w:tblPr>
        <w:tblW w:type="dxa" w:w="9020"/>
        <w:tblBorders>
          <w:top w:val="single" w:color="EAF1FB" w:sz="2"/>
          <w:left w:val="single" w:color="2E75B6" w:sz="24"/>
          <w:bottom w:val="single" w:color="EAF1FB" w:sz="2"/>
          <w:right w:val="single" w:color="EAF1FB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EAF1FB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76"/>
              <w:jc w:val="left"/>
            </w:pPr>
            <w:r>
              <w:rPr>
                <w:b/>
                <w:bCs/>
              </w:rPr>
              <w:t xml:space="preserve">Fórmula: </w:t>
            </w:r>
            <w:r>
              <w:rPr>
                <w:i/>
                <w:iCs/>
              </w:rPr>
              <w:t xml:space="preserve">Comissão por categoria → Comissão-Base → (× multiplicador do Desempenho 360º) → Comissão Ajustada → (+ Prêmio de Filial) = Remuneração variável do mês.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Princípios que guiaram o desenho</w:t>
      </w:r>
    </w:p>
    <w:p>
      <w:pPr>
        <w:spacing w:after="60" w:line="276"/>
        <w:jc w:val="both"/>
      </w:pPr>
      <w:r>
        <w:t xml:space="preserve">Cada escolha abaixo responde a um risco real do negócio:</w:t>
      </w:r>
    </w:p>
    <w:p>
      <w:pPr>
        <w:pStyle w:val="ListParagraph"/>
        <w:numPr>
          <w:ilvl w:val="0"/>
          <w:numId w:val="2"/>
        </w:numPr>
        <w:spacing w:after="60" w:line="268"/>
        <w:jc w:val="left"/>
      </w:pPr>
      <w:r>
        <w:rPr>
          <w:b/>
          <w:bCs/>
        </w:rPr>
        <w:t xml:space="preserve">Premiar vender bem, não só muito. </w:t>
      </w:r>
      <w:r>
        <w:t xml:space="preserve">A nota do colaborador passa a considerar margem, desconto e mix — não apenas o valor vendido.</w:t>
      </w:r>
    </w:p>
    <w:p>
      <w:pPr>
        <w:pStyle w:val="ListParagraph"/>
        <w:numPr>
          <w:ilvl w:val="0"/>
          <w:numId w:val="2"/>
        </w:numPr>
        <w:spacing w:after="60" w:line="268"/>
        <w:jc w:val="left"/>
      </w:pPr>
      <w:r>
        <w:rPr>
          <w:b/>
          <w:bCs/>
        </w:rPr>
        <w:t xml:space="preserve">Proteger a comissão já conquistada. </w:t>
      </w:r>
      <w:r>
        <w:t xml:space="preserve">A comissão sobre a venda realizada é piso: o Desempenho 360º só acrescenta, nunca subtrai o que já foi vendido. Isso dá segurança à equipe e evita risco trabalhista, já que comissão sobre venda efetiva é parcela de natureza salarial.</w:t>
      </w:r>
    </w:p>
    <w:p>
      <w:pPr>
        <w:pStyle w:val="ListParagraph"/>
        <w:numPr>
          <w:ilvl w:val="0"/>
          <w:numId w:val="2"/>
        </w:numPr>
        <w:spacing w:after="60" w:line="268"/>
        <w:jc w:val="left"/>
      </w:pPr>
      <w:r>
        <w:rPr>
          <w:b/>
          <w:bCs/>
        </w:rPr>
        <w:t xml:space="preserve">Custo-neutro e autofinanciado. </w:t>
      </w:r>
      <w:r>
        <w:t xml:space="preserve">No lançamento, a política não pode custar mais do que hoje; o prêmio adicional é bancado pela margem que ele mesmo ajuda a gerar. É uma exigência do momento de caixa.</w:t>
      </w:r>
    </w:p>
    <w:p>
      <w:pPr>
        <w:pStyle w:val="ListParagraph"/>
        <w:numPr>
          <w:ilvl w:val="0"/>
          <w:numId w:val="2"/>
        </w:numPr>
        <w:spacing w:after="60" w:line="268"/>
        <w:jc w:val="left"/>
      </w:pPr>
      <w:r>
        <w:rPr>
          <w:b/>
          <w:bCs/>
        </w:rPr>
        <w:t xml:space="preserve">Critérios objetivos e iguais para todos. </w:t>
      </w:r>
      <w:r>
        <w:t xml:space="preserve">A maior parte da nota vem de números do sistema, não de avaliação pessoal — o que reduz subjetividade e disputa.</w:t>
      </w:r>
    </w:p>
    <w:p>
      <w:pPr>
        <w:pStyle w:val="ListParagraph"/>
        <w:numPr>
          <w:ilvl w:val="0"/>
          <w:numId w:val="2"/>
        </w:numPr>
        <w:spacing w:after="60" w:line="268"/>
        <w:jc w:val="left"/>
      </w:pPr>
      <w:r>
        <w:rPr>
          <w:b/>
          <w:bCs/>
        </w:rPr>
        <w:t xml:space="preserve">Alinhada à estratégia de caixa. </w:t>
      </w:r>
      <w:r>
        <w:t xml:space="preserve">Ações urgentes, como a liquidação de estoque parado, entram por uma via própria, premiada por velocidade, sem contaminar a métrica de margem.</w:t>
      </w:r>
    </w:p>
    <w:p>
      <w:pPr>
        <w:spacing w:after="80"/>
      </w:pPr>
    </w:p>
    <w:p>
      <w:pPr>
        <w:pStyle w:val="Heading1"/>
      </w:pPr>
      <w:r>
        <w:t xml:space="preserve">4. Como a comissão é calculada</w:t>
      </w:r>
    </w:p>
    <w:p>
      <w:pPr>
        <w:pStyle w:val="Heading2"/>
      </w:pPr>
      <w:r>
        <w:t xml:space="preserve">Bloco 1 — Comissão por categoria (protegida)</w:t>
      </w:r>
    </w:p>
    <w:p>
      <w:pPr>
        <w:spacing w:after="120" w:line="276"/>
        <w:jc w:val="both"/>
      </w:pPr>
      <w:r>
        <w:t xml:space="preserve">Cada categoria — Similares, Genéricos, Perfumaria, Manipulação, RX, Conveniência e Correlatos — tem uma tabela de faixas: quanto mais o colaborador vende naquela linha, maior o percentual aplicado. A soma das comissões de todas as categorias é a Comissão-Base do mês. Essa parcela é garantida: é o que o colaborador ganhou sobre venda efetiva.</w:t>
      </w:r>
    </w:p>
    <w:tbl>
      <w:tblPr>
        <w:tblW w:type="dxa" w:w="9020"/>
        <w:tblBorders>
          <w:top w:val="single" w:color="F3F8EF" w:sz="2"/>
          <w:left w:val="single" w:color="548235" w:sz="24"/>
          <w:bottom w:val="single" w:color="F3F8EF" w:sz="2"/>
          <w:right w:val="single" w:color="F3F8EF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F3F8EF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76"/>
              <w:jc w:val="left"/>
            </w:pPr>
            <w:r>
              <w:rPr>
                <w:b/>
                <w:bCs/>
              </w:rPr>
              <w:t xml:space="preserve">Por que calibrar por categoria: </w:t>
            </w:r>
            <w:r>
              <w:t xml:space="preserve">as faixas serão ajustadas à rentabilidade de cada linha — mais atrativas no genérico (a categoria de maior margem da rede, cerca de 57%) e na manipulação (nosso diferencial), e mais contidas no RX (margem de 16%). Assim a comissão dirige o esforço de venda para onde a rede de fato lucra.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Bloco 2 — Desempenho 360º (a nota que vira multiplicador)</w:t>
      </w:r>
    </w:p>
    <w:p>
      <w:pPr>
        <w:spacing w:after="100" w:line="276"/>
        <w:jc w:val="both"/>
      </w:pPr>
      <w:r>
        <w:t xml:space="preserve">A cada mês o colaborador recebe uma pontuação de 0 a 100, distribuída em quatro pilares: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200"/>
        <w:gridCol w:w="3220"/>
      </w:tblGrid>
      <w:tr>
        <w:trPr>
          <w:tblHeader/>
        </w:trPr>
        <w:tc>
          <w:tcPr>
            <w:tcW w:type="dxa" w:w="46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12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322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mede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individual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32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Atingimento da própria meta</w:t>
            </w:r>
          </w:p>
        </w:tc>
      </w:tr>
      <w:tr>
        <w:tc>
          <w:tcPr>
            <w:tcW w:type="dxa" w:w="46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da filial</w:t>
            </w:r>
          </w:p>
        </w:tc>
        <w:tc>
          <w:tcPr>
            <w:tcW w:type="dxa" w:w="12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322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Atingimento da meta da loja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Qualidade / rentabilidade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32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Desconto médio, ticket médio e mix</w:t>
            </w:r>
          </w:p>
        </w:tc>
      </w:tr>
      <w:tr>
        <w:tc>
          <w:tcPr>
            <w:tcW w:type="dxa" w:w="46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Equipe</w:t>
            </w:r>
          </w:p>
        </w:tc>
        <w:tc>
          <w:tcPr>
            <w:tcW w:type="dxa" w:w="12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22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Colaboração, escala e organização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t xml:space="preserve">A leitura é intencional: </w:t>
      </w:r>
      <w:r>
        <w:rPr>
          <w:b/>
          <w:bCs/>
        </w:rPr>
        <w:t xml:space="preserve">70% da nota é resultado concreto</w:t>
      </w:r>
      <w:r>
        <w:t xml:space="preserve"> (o do colaborador somado ao da loja) e 30% é o modo como ele trabalha. Não é possível se destacar em um pilar só.</w:t>
      </w:r>
    </w:p>
    <w:p>
      <w:pPr>
        <w:spacing w:after="100" w:line="276"/>
        <w:jc w:val="both"/>
      </w:pPr>
      <w:r>
        <w:t xml:space="preserve">Essa nota se converte em um multiplicador da Comissão-Base: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Pontuação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322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Multiplicador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60 a 69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Bronze</w:t>
            </w:r>
          </w:p>
        </w:tc>
        <w:tc>
          <w:tcPr>
            <w:tcW w:type="dxa" w:w="32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0,50</w:t>
            </w:r>
          </w:p>
        </w:tc>
      </w:tr>
      <w:tr>
        <w:tc>
          <w:tcPr>
            <w:tcW w:type="dxa" w:w="26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70 a 79</w:t>
            </w:r>
          </w:p>
        </w:tc>
        <w:tc>
          <w:tcPr>
            <w:tcW w:type="dxa" w:w="32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Prata</w:t>
            </w:r>
          </w:p>
        </w:tc>
        <w:tc>
          <w:tcPr>
            <w:tcW w:type="dxa" w:w="322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0,75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80 a 89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Platina</w:t>
            </w:r>
          </w:p>
        </w:tc>
        <w:tc>
          <w:tcPr>
            <w:tcW w:type="dxa" w:w="32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1,00</w:t>
            </w:r>
          </w:p>
        </w:tc>
      </w:tr>
      <w:tr>
        <w:tc>
          <w:tcPr>
            <w:tcW w:type="dxa" w:w="26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90 a 94</w:t>
            </w:r>
          </w:p>
        </w:tc>
        <w:tc>
          <w:tcPr>
            <w:tcW w:type="dxa" w:w="32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Diamante</w:t>
            </w:r>
          </w:p>
        </w:tc>
        <w:tc>
          <w:tcPr>
            <w:tcW w:type="dxa" w:w="322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1,20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95 a 100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Ouro</w:t>
            </w:r>
          </w:p>
        </w:tc>
        <w:tc>
          <w:tcPr>
            <w:tcW w:type="dxa" w:w="32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1,50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t xml:space="preserve">Abaixo de 60 pontos, </w:t>
      </w:r>
      <w:r>
        <w:rPr>
          <w:b/>
          <w:bCs/>
        </w:rPr>
        <w:t xml:space="preserve">a comissão por categoria continua garantida</w:t>
      </w:r>
      <w:r>
        <w:t xml:space="preserve"> (o piso do Bloco 1); o multiplicador afeta apenas o ganho adicional. A política foi desenhada para puxar a equipe para cima, não para punir quem está começando.</w:t>
      </w:r>
    </w:p>
    <w:p>
      <w:pPr>
        <w:spacing w:after="40"/>
      </w:pPr>
    </w:p>
    <w:p>
      <w:pPr>
        <w:pStyle w:val="Heading2"/>
      </w:pPr>
      <w:r>
        <w:t xml:space="preserve">Bloco 3 — Prêmio de filial</w:t>
      </w:r>
    </w:p>
    <w:p>
      <w:pPr>
        <w:spacing w:after="120" w:line="276"/>
        <w:jc w:val="both"/>
      </w:pPr>
      <w:r>
        <w:t xml:space="preserve">Quando a loja bate a meta do mês, cada atendente e gestor da filial recebe um prêmio fixo (valor de referência atual: R$ 250). É o incentivo ao jogo coletivo: não adianta um colaborador brilhar se a loja não fecha a meta.</w:t>
      </w:r>
    </w:p>
    <w:p>
      <w:pPr>
        <w:spacing w:after="40"/>
      </w:pPr>
    </w:p>
    <w:tbl>
      <w:tblPr>
        <w:tblW w:type="dxa" w:w="9020"/>
        <w:tblBorders>
          <w:top w:val="single" w:color="EAF1FB" w:sz="2"/>
          <w:left w:val="single" w:color="2E75B6" w:sz="24"/>
          <w:bottom w:val="single" w:color="EAF1FB" w:sz="2"/>
          <w:right w:val="single" w:color="EAF1FB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EAF1FB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Exemplo prático</w:t>
            </w:r>
          </w:p>
          <w:p>
            <w:pPr>
              <w:spacing w:after="0" w:line="276"/>
              <w:jc w:val="left"/>
            </w:pPr>
            <w:r>
              <w:t xml:space="preserve">Uma vendedora fecha o mês com Comissão-Base de R$ 650 e 93 pontos no Desempenho 360º (nível Diamante, multiplicador 1,20). A Comissão Ajustada é R$ 780. Como a loja bateu a meta, soma-se o prêmio de R$ 250. </w:t>
            </w:r>
            <w:r>
              <w:rPr>
                <w:b/>
                <w:bCs/>
              </w:rPr>
              <w:t xml:space="preserve">Total variável do mês: R$ 1.030</w:t>
            </w:r>
            <w:r>
              <w:t xml:space="preserve"> — contra R$ 650 no modelo antigo. A diferença é o prêmio por ter vendido bem, não apenas bastante.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Por que esta política protege o caixa</w:t>
      </w:r>
    </w:p>
    <w:p>
      <w:pPr>
        <w:spacing w:after="60" w:line="276"/>
        <w:jc w:val="both"/>
      </w:pPr>
      <w:r>
        <w:t xml:space="preserve">Esta não é apenas uma política de recursos humanos; é um instrumento financeiro alinhado ao momento da rede:</w:t>
      </w:r>
    </w:p>
    <w:p>
      <w:pPr>
        <w:pStyle w:val="ListParagraph"/>
        <w:numPr>
          <w:ilvl w:val="0"/>
          <w:numId w:val="2"/>
        </w:numPr>
        <w:spacing w:after="60" w:line="268"/>
        <w:jc w:val="left"/>
      </w:pPr>
      <w:r>
        <w:rPr>
          <w:b/>
          <w:bCs/>
        </w:rPr>
        <w:t xml:space="preserve">Ataca o maior vazamento — o desconto de balcão. </w:t>
      </w:r>
      <w:r>
        <w:t xml:space="preserve">A métrica de rentabilidade paga o colaborador para segurar o desconto que hoje corrói a margem. Cada ponto de desconto evitado é caixa que permanece na rede.</w:t>
      </w:r>
    </w:p>
    <w:p>
      <w:pPr>
        <w:pStyle w:val="ListParagraph"/>
        <w:numPr>
          <w:ilvl w:val="0"/>
          <w:numId w:val="2"/>
        </w:numPr>
        <w:spacing w:after="60" w:line="268"/>
        <w:jc w:val="left"/>
      </w:pPr>
      <w:r>
        <w:rPr>
          <w:b/>
          <w:bCs/>
        </w:rPr>
        <w:t xml:space="preserve">Dirige a venda para o que dá lucro. </w:t>
      </w:r>
      <w:r>
        <w:t xml:space="preserve">Ao remunerar melhor o genérico e a manipulação, empurra o mix para as linhas de maior margem e alivia o peso do RX, de margem baixa.</w:t>
      </w:r>
    </w:p>
    <w:p>
      <w:pPr>
        <w:pStyle w:val="ListParagraph"/>
        <w:numPr>
          <w:ilvl w:val="0"/>
          <w:numId w:val="2"/>
        </w:numPr>
        <w:spacing w:after="60" w:line="268"/>
        <w:jc w:val="left"/>
      </w:pPr>
      <w:r>
        <w:rPr>
          <w:b/>
          <w:bCs/>
        </w:rPr>
        <w:t xml:space="preserve">Mobiliza o time na liquidação. </w:t>
      </w:r>
      <w:r>
        <w:t xml:space="preserve">As vendas de estoque parado — que geram o caixa para repor o essencial — são premiadas por velocidade em campanha própria, sem punir o colaborador pela margem baixa desses itens.</w:t>
      </w:r>
    </w:p>
    <w:p>
      <w:pPr>
        <w:pStyle w:val="ListParagraph"/>
        <w:numPr>
          <w:ilvl w:val="0"/>
          <w:numId w:val="2"/>
        </w:numPr>
        <w:spacing w:after="60" w:line="268"/>
        <w:jc w:val="left"/>
      </w:pPr>
      <w:r>
        <w:rPr>
          <w:b/>
          <w:bCs/>
        </w:rPr>
        <w:t xml:space="preserve">Não incha a folha. </w:t>
      </w:r>
      <w:r>
        <w:t xml:space="preserve">O modelo é validado por simulação antes de entrar em vigor, garantindo custo igual ou menor ao atual — apenas realocando o incentivo para o comportamento certo.</w:t>
      </w:r>
    </w:p>
    <w:p>
      <w:pPr>
        <w:spacing w:after="80"/>
      </w:pPr>
    </w:p>
    <w:p>
      <w:pPr>
        <w:pStyle w:val="Heading1"/>
      </w:pPr>
      <w:r>
        <w:t xml:space="preserve">6. Governança, segurança e travas</w:t>
      </w:r>
    </w:p>
    <w:p>
      <w:pPr>
        <w:spacing w:after="60" w:line="276"/>
        <w:jc w:val="both"/>
      </w:pPr>
      <w:r>
        <w:t xml:space="preserve">Antes da vigência oficial, cinco pontos são formalizados pela administração:</w:t>
      </w:r>
    </w:p>
    <w:p>
      <w:pPr>
        <w:pStyle w:val="ListParagraph"/>
        <w:numPr>
          <w:ilvl w:val="0"/>
          <w:numId w:val="2"/>
        </w:numPr>
        <w:spacing w:after="60" w:line="268"/>
        <w:jc w:val="left"/>
      </w:pPr>
      <w:r>
        <w:rPr>
          <w:b/>
          <w:bCs/>
        </w:rPr>
        <w:t xml:space="preserve">Natureza jurídica das parcelas. </w:t>
      </w:r>
      <w:r>
        <w:t xml:space="preserve">A comissão por categoria é tratada como parcela salarial (garantida e integrando encargos); o Desempenho 360º e o prêmio de filial, como prêmio por meta. Recomenda-se validação com a contabilidade e a assessoria trabalhista.</w:t>
      </w:r>
    </w:p>
    <w:p>
      <w:pPr>
        <w:pStyle w:val="ListParagraph"/>
        <w:numPr>
          <w:ilvl w:val="0"/>
          <w:numId w:val="2"/>
        </w:numPr>
        <w:spacing w:after="60" w:line="268"/>
        <w:jc w:val="left"/>
      </w:pPr>
      <w:r>
        <w:rPr>
          <w:b/>
          <w:bCs/>
        </w:rPr>
        <w:t xml:space="preserve">Custo-neutralidade comprovada. </w:t>
      </w:r>
      <w:r>
        <w:t xml:space="preserve">Simulação sobre um mês fechado, colaborador a colaborador, antes do início.</w:t>
      </w:r>
    </w:p>
    <w:p>
      <w:pPr>
        <w:pStyle w:val="ListParagraph"/>
        <w:numPr>
          <w:ilvl w:val="0"/>
          <w:numId w:val="2"/>
        </w:numPr>
        <w:spacing w:after="60" w:line="268"/>
        <w:jc w:val="left"/>
      </w:pPr>
      <w:r>
        <w:rPr>
          <w:b/>
          <w:bCs/>
        </w:rPr>
        <w:t xml:space="preserve">Objetivação dos 30 pontos de qualidade e equipe. </w:t>
      </w:r>
      <w:r>
        <w:t xml:space="preserve">Ancorados em números do sistema (desconto, ticket, mix) e em um checklist claro, para reduzir a subjetividade.</w:t>
      </w:r>
    </w:p>
    <w:p>
      <w:pPr>
        <w:pStyle w:val="ListParagraph"/>
        <w:numPr>
          <w:ilvl w:val="0"/>
          <w:numId w:val="2"/>
        </w:numPr>
        <w:spacing w:after="60" w:line="268"/>
        <w:jc w:val="left"/>
      </w:pPr>
      <w:r>
        <w:rPr>
          <w:b/>
          <w:bCs/>
        </w:rPr>
        <w:t xml:space="preserve">Isolamento da liquidação. </w:t>
      </w:r>
      <w:r>
        <w:t xml:space="preserve">Itens de estoque morto premiados por velocidade, fora da métrica de margem.</w:t>
      </w:r>
    </w:p>
    <w:p>
      <w:pPr>
        <w:pStyle w:val="ListParagraph"/>
        <w:numPr>
          <w:ilvl w:val="0"/>
          <w:numId w:val="2"/>
        </w:numPr>
        <w:spacing w:after="60" w:line="268"/>
        <w:jc w:val="left"/>
      </w:pPr>
      <w:r>
        <w:rPr>
          <w:b/>
          <w:bCs/>
        </w:rPr>
        <w:t xml:space="preserve">Calibragem das faixas por categoria. </w:t>
      </w:r>
      <w:r>
        <w:t xml:space="preserve">Ajuste das faixas de comissão à rentabilidade real de cada linha.</w:t>
      </w:r>
    </w:p>
    <w:p>
      <w:pPr>
        <w:spacing w:after="80"/>
      </w:pPr>
    </w:p>
    <w:p>
      <w:pPr>
        <w:pStyle w:val="Heading1"/>
      </w:pPr>
      <w:r>
        <w:t xml:space="preserve">7. Implantação sugerida</w:t>
      </w:r>
    </w:p>
    <w:p>
      <w:pPr>
        <w:pStyle w:val="ListParagraph"/>
        <w:numPr>
          <w:ilvl w:val="0"/>
          <w:numId w:val="2"/>
        </w:numPr>
        <w:spacing w:after="60" w:line="268"/>
        <w:jc w:val="left"/>
      </w:pPr>
      <w:r>
        <w:t xml:space="preserve">Piloto na filial Centro, com base nos dados de um mês fechado.</w:t>
      </w:r>
    </w:p>
    <w:p>
      <w:pPr>
        <w:pStyle w:val="ListParagraph"/>
        <w:numPr>
          <w:ilvl w:val="0"/>
          <w:numId w:val="2"/>
        </w:numPr>
        <w:spacing w:after="60" w:line="268"/>
        <w:jc w:val="left"/>
      </w:pPr>
      <w:r>
        <w:t xml:space="preserve">Validação jurídica e contábil da natureza das parcelas.</w:t>
      </w:r>
    </w:p>
    <w:p>
      <w:pPr>
        <w:pStyle w:val="ListParagraph"/>
        <w:numPr>
          <w:ilvl w:val="0"/>
          <w:numId w:val="2"/>
        </w:numPr>
        <w:spacing w:after="60" w:line="268"/>
        <w:jc w:val="left"/>
      </w:pPr>
      <w:r>
        <w:t xml:space="preserve">Simulação e ajuste das faixas e cortes.</w:t>
      </w:r>
    </w:p>
    <w:p>
      <w:pPr>
        <w:pStyle w:val="ListParagraph"/>
        <w:numPr>
          <w:ilvl w:val="0"/>
          <w:numId w:val="2"/>
        </w:numPr>
        <w:spacing w:after="60" w:line="268"/>
        <w:jc w:val="left"/>
      </w:pPr>
      <w:r>
        <w:t xml:space="preserve">Comunicação à equipe, em documento próprio e linguagem de balcão.</w:t>
      </w:r>
    </w:p>
    <w:p>
      <w:pPr>
        <w:pStyle w:val="ListParagraph"/>
        <w:numPr>
          <w:ilvl w:val="0"/>
          <w:numId w:val="2"/>
        </w:numPr>
        <w:spacing w:after="60" w:line="268"/>
        <w:jc w:val="left"/>
      </w:pPr>
      <w:r>
        <w:t xml:space="preserve">Revisão após o primeiro ciclo e extensão às demais filiais.</w:t>
      </w:r>
    </w:p>
    <w:p>
      <w:pPr>
        <w:spacing w:after="80"/>
      </w:pPr>
    </w:p>
    <w:p>
      <w:pPr>
        <w:pStyle w:val="Heading1"/>
      </w:pPr>
      <w:r>
        <w:t xml:space="preserve">8. Decisões que pedimos à Diretoria</w:t>
      </w:r>
    </w:p>
    <w:p>
      <w:pPr>
        <w:pStyle w:val="ListParagraph"/>
        <w:numPr>
          <w:ilvl w:val="0"/>
          <w:numId w:val="2"/>
        </w:numPr>
        <w:spacing w:after="60" w:line="268"/>
        <w:jc w:val="left"/>
      </w:pPr>
      <w:r>
        <w:t xml:space="preserve">Aprovar o conceito e a estrutura de três blocos.</w:t>
      </w:r>
    </w:p>
    <w:p>
      <w:pPr>
        <w:pStyle w:val="ListParagraph"/>
        <w:numPr>
          <w:ilvl w:val="0"/>
          <w:numId w:val="2"/>
        </w:numPr>
        <w:spacing w:after="60" w:line="268"/>
        <w:jc w:val="left"/>
      </w:pPr>
      <w:r>
        <w:t xml:space="preserve">Autorizar a validação jurídica e contábil das parcelas.</w:t>
      </w:r>
    </w:p>
    <w:p>
      <w:pPr>
        <w:pStyle w:val="ListParagraph"/>
        <w:numPr>
          <w:ilvl w:val="0"/>
          <w:numId w:val="2"/>
        </w:numPr>
        <w:spacing w:after="60" w:line="268"/>
        <w:jc w:val="left"/>
      </w:pPr>
      <w:r>
        <w:t xml:space="preserve">Autorizar o piloto na filial Centro.</w:t>
      </w:r>
    </w:p>
    <w:p>
      <w:pPr>
        <w:pStyle w:val="ListParagraph"/>
        <w:numPr>
          <w:ilvl w:val="0"/>
          <w:numId w:val="2"/>
        </w:numPr>
        <w:spacing w:after="60" w:line="268"/>
        <w:jc w:val="left"/>
      </w:pPr>
      <w:r>
        <w:t xml:space="preserve">Confirmar o valor de referência do prêmio de filial (R$ 250) e a diretriz de </w:t>
      </w:r>
      <w:r>
        <w:rPr>
          <w:b/>
          <w:bCs/>
        </w:rPr>
        <w:t xml:space="preserve">calibrar as faixas de comissão pela rentabilidade de cada categoria.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 w:space="6"/>
      </w:pBdr>
    </w:pPr>
    <w:r>
      <w:rPr>
        <w:color w:val="595959"/>
        <w:sz w:val="16"/>
        <w:szCs w:val="16"/>
      </w:rPr>
      <w:t xml:space="preserve">Política de Comissionamento 360º — Farmácia Geremias</w:t>
    </w:r>
    <w:ptab w:alignment="right" w:relativeTo="margin" w:leader="none"/>
    <w:r>
      <w:rPr>
        <w:color w:val="595959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60"/>
    </w:pPr>
    <w:rPr>
      <w:rFonts w:ascii="Calibri" w:cs="Calibri" w:eastAsia="Calibri" w:hAnsi="Calibri"/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pPr>
      <w:keepNext/>
      <w:spacing w:after="60" w:before="160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Comissionamento 360º — Geremias</dc:title>
  <dc:creator>Farmácia Geremias</dc:creator>
  <cp:lastModifiedBy>Un-named</cp:lastModifiedBy>
  <cp:revision>1</cp:revision>
  <dcterms:created xsi:type="dcterms:W3CDTF">2026-07-29T00:20:37.122Z</dcterms:created>
  <dcterms:modified xsi:type="dcterms:W3CDTF">2026-07-29T00:20:37.154Z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