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C48DE" w14:textId="4A5CCB62" w:rsidR="00086F1C" w:rsidRDefault="00086F1C" w:rsidP="00086F1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i/>
          <w:iCs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sz w:val="21"/>
          <w:szCs w:val="21"/>
        </w:rPr>
        <w:t xml:space="preserve">1 </w:t>
      </w:r>
      <w:proofErr w:type="spellStart"/>
      <w:r>
        <w:rPr>
          <w:rFonts w:ascii="Arial" w:hAnsi="Arial" w:cs="Arial"/>
          <w:i/>
          <w:iCs/>
          <w:color w:val="000000"/>
          <w:sz w:val="17"/>
          <w:szCs w:val="17"/>
          <w:shd w:val="clear" w:color="auto" w:fill="FFFFFF"/>
        </w:rPr>
        <w:t>Heraclides</w:t>
      </w:r>
      <w:proofErr w:type="spellEnd"/>
      <w:r>
        <w:rPr>
          <w:rFonts w:ascii="Arial" w:hAnsi="Arial" w:cs="Arial"/>
          <w:i/>
          <w:iCs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17"/>
          <w:szCs w:val="17"/>
          <w:shd w:val="clear" w:color="auto" w:fill="FFFFFF"/>
        </w:rPr>
        <w:t>thoas</w:t>
      </w:r>
      <w:proofErr w:type="spellEnd"/>
      <w:r>
        <w:rPr>
          <w:rFonts w:ascii="Arial" w:hAnsi="Arial" w:cs="Arial"/>
          <w:i/>
          <w:iCs/>
          <w:color w:val="000000"/>
          <w:sz w:val="17"/>
          <w:szCs w:val="17"/>
          <w:shd w:val="clear" w:color="auto" w:fill="FFFFFF"/>
        </w:rPr>
        <w:t xml:space="preserve"> – </w:t>
      </w:r>
    </w:p>
    <w:p w14:paraId="1AF26ABD" w14:textId="5FBA08A2" w:rsidR="00086F1C" w:rsidRDefault="00086F1C" w:rsidP="00086F1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i/>
          <w:iCs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i/>
          <w:iCs/>
          <w:color w:val="000000"/>
          <w:sz w:val="17"/>
          <w:szCs w:val="17"/>
          <w:shd w:val="clear" w:color="auto" w:fill="FFFFFF"/>
        </w:rPr>
        <w:t xml:space="preserve">2 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>Episcada</w:t>
      </w:r>
      <w:proofErr w:type="spellEnd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 xml:space="preserve"> hymenaea</w:t>
      </w:r>
    </w:p>
    <w:p w14:paraId="73134CAE" w14:textId="15E4CBD3" w:rsidR="00086F1C" w:rsidRDefault="00086F1C" w:rsidP="00086F1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i/>
          <w:iCs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i/>
          <w:iCs/>
          <w:color w:val="000000"/>
          <w:sz w:val="17"/>
          <w:szCs w:val="17"/>
          <w:shd w:val="clear" w:color="auto" w:fill="FFFFFF"/>
        </w:rPr>
        <w:t xml:space="preserve">3 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>Mechanitis</w:t>
      </w:r>
      <w:proofErr w:type="spellEnd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>polymnia</w:t>
      </w:r>
      <w:proofErr w:type="spellEnd"/>
    </w:p>
    <w:p w14:paraId="48EBF642" w14:textId="3053222D" w:rsidR="00086F1C" w:rsidRDefault="00086F1C" w:rsidP="00086F1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i/>
          <w:iCs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i/>
          <w:iCs/>
          <w:color w:val="000000"/>
          <w:sz w:val="17"/>
          <w:szCs w:val="17"/>
          <w:shd w:val="clear" w:color="auto" w:fill="FFFFFF"/>
        </w:rPr>
        <w:t xml:space="preserve">4 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>Danaus</w:t>
      </w:r>
      <w:proofErr w:type="spellEnd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>plexippus</w:t>
      </w:r>
      <w:proofErr w:type="spellEnd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 xml:space="preserve"> – Borboleta Monarca</w:t>
      </w:r>
    </w:p>
    <w:p w14:paraId="62680711" w14:textId="1D9850AD" w:rsidR="00086F1C" w:rsidRDefault="00086F1C" w:rsidP="00086F1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i/>
          <w:iCs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i/>
          <w:iCs/>
          <w:color w:val="000000"/>
          <w:sz w:val="17"/>
          <w:szCs w:val="17"/>
          <w:shd w:val="clear" w:color="auto" w:fill="FFFFFF"/>
        </w:rPr>
        <w:t xml:space="preserve">5 </w:t>
      </w:r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 xml:space="preserve">Abraxas 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>grossulariata</w:t>
      </w:r>
      <w:proofErr w:type="spellEnd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 xml:space="preserve"> - Mariposa</w:t>
      </w:r>
    </w:p>
    <w:p w14:paraId="245A4E71" w14:textId="77777777" w:rsidR="00086F1C" w:rsidRDefault="00086F1C" w:rsidP="00086F1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</w:p>
    <w:p w14:paraId="53823EA2" w14:textId="77777777" w:rsidR="00086F1C" w:rsidRDefault="00086F1C" w:rsidP="00086F1C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sz w:val="21"/>
          <w:szCs w:val="21"/>
        </w:rPr>
      </w:pPr>
    </w:p>
    <w:p w14:paraId="2A7BD6ED" w14:textId="689D5755" w:rsidR="00086F1C" w:rsidRPr="00086F1C" w:rsidRDefault="00086F1C" w:rsidP="00086F1C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sz w:val="21"/>
          <w:szCs w:val="21"/>
        </w:rPr>
      </w:pPr>
      <w:r w:rsidRPr="00086F1C">
        <w:rPr>
          <w:rFonts w:ascii="Arial" w:hAnsi="Arial" w:cs="Arial"/>
          <w:sz w:val="21"/>
          <w:szCs w:val="21"/>
        </w:rPr>
        <w:t>Lepidoptera é uma </w:t>
      </w:r>
      <w:hyperlink r:id="rId4" w:tooltip="Ordem (biologia)" w:history="1">
        <w:r w:rsidRPr="00086F1C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ordem</w:t>
        </w:r>
      </w:hyperlink>
      <w:r w:rsidRPr="00086F1C">
        <w:rPr>
          <w:rFonts w:ascii="Arial" w:hAnsi="Arial" w:cs="Arial"/>
          <w:sz w:val="21"/>
          <w:szCs w:val="21"/>
        </w:rPr>
        <w:t> de </w:t>
      </w:r>
      <w:hyperlink r:id="rId5" w:tooltip="Insetos" w:history="1">
        <w:r w:rsidRPr="00086F1C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insetos</w:t>
        </w:r>
      </w:hyperlink>
      <w:r w:rsidRPr="00086F1C">
        <w:rPr>
          <w:rFonts w:ascii="Arial" w:hAnsi="Arial" w:cs="Arial"/>
          <w:sz w:val="21"/>
          <w:szCs w:val="21"/>
        </w:rPr>
        <w:t> que inclui as borboletas e mariposas. Os lepidópteros compõem a segunda maior diversidade de insetos do planeta e são encontrados em quase todas as regiões do mundo, principalmente em locais tropicais. São estimadas 180.000 espécies de lepidópteros distribuídas em 34 superfamílias e 130 famílias. Deles, 12% são borboletas, sendo a segunda maior ordem de insetos em número de espécies. No Brasil, mais de 5.000 espécies já foram descritas.</w:t>
      </w:r>
    </w:p>
    <w:p w14:paraId="6BF10070" w14:textId="0D961C59" w:rsidR="00086F1C" w:rsidRPr="00086F1C" w:rsidRDefault="00086F1C" w:rsidP="00086F1C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sz w:val="21"/>
          <w:szCs w:val="21"/>
        </w:rPr>
      </w:pPr>
      <w:r w:rsidRPr="00086F1C">
        <w:rPr>
          <w:rFonts w:ascii="Arial" w:hAnsi="Arial" w:cs="Arial"/>
          <w:sz w:val="21"/>
          <w:szCs w:val="21"/>
        </w:rPr>
        <w:t>O grupo é de grande importância econômica, pois a maioria das larvas é </w:t>
      </w:r>
      <w:proofErr w:type="spellStart"/>
      <w:r w:rsidRPr="00086F1C">
        <w:rPr>
          <w:rFonts w:ascii="Arial" w:hAnsi="Arial" w:cs="Arial"/>
          <w:sz w:val="21"/>
          <w:szCs w:val="21"/>
        </w:rPr>
        <w:fldChar w:fldCharType="begin"/>
      </w:r>
      <w:r w:rsidRPr="00086F1C">
        <w:rPr>
          <w:rFonts w:ascii="Arial" w:hAnsi="Arial" w:cs="Arial"/>
          <w:sz w:val="21"/>
          <w:szCs w:val="21"/>
        </w:rPr>
        <w:instrText xml:space="preserve"> HYPERLINK "https://pt.wikipedia.org/wiki/Fitofagia" \o "Fitofagia" </w:instrText>
      </w:r>
      <w:r w:rsidRPr="00086F1C">
        <w:rPr>
          <w:rFonts w:ascii="Arial" w:hAnsi="Arial" w:cs="Arial"/>
          <w:sz w:val="21"/>
          <w:szCs w:val="21"/>
        </w:rPr>
        <w:fldChar w:fldCharType="separate"/>
      </w:r>
      <w:r w:rsidRPr="00086F1C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fitófaga</w:t>
      </w:r>
      <w:proofErr w:type="spellEnd"/>
      <w:r w:rsidRPr="00086F1C">
        <w:rPr>
          <w:rFonts w:ascii="Arial" w:hAnsi="Arial" w:cs="Arial"/>
          <w:sz w:val="21"/>
          <w:szCs w:val="21"/>
        </w:rPr>
        <w:fldChar w:fldCharType="end"/>
      </w:r>
      <w:r w:rsidRPr="00086F1C">
        <w:rPr>
          <w:rFonts w:ascii="Arial" w:hAnsi="Arial" w:cs="Arial"/>
          <w:sz w:val="21"/>
          <w:szCs w:val="21"/>
        </w:rPr>
        <w:t> e muitas espécies são pragas de cultivos agrícolas. Por outro lado, os adultos são agentes </w:t>
      </w:r>
      <w:hyperlink r:id="rId6" w:tooltip="Polinizador" w:history="1">
        <w:r w:rsidRPr="00086F1C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polinizadores</w:t>
        </w:r>
      </w:hyperlink>
      <w:r w:rsidRPr="00086F1C">
        <w:rPr>
          <w:rFonts w:ascii="Arial" w:hAnsi="Arial" w:cs="Arial"/>
          <w:sz w:val="21"/>
          <w:szCs w:val="21"/>
        </w:rPr>
        <w:t> fundamentais para o equilíbrio dinâmico de ecossistemas, servindo como indicadores no monitoramento da diversidade biológica, na integridade de paisagens e uso sustentável de recursos naturais.</w:t>
      </w:r>
      <w:r w:rsidRPr="00086F1C">
        <w:rPr>
          <w:rFonts w:ascii="Arial" w:hAnsi="Arial" w:cs="Arial"/>
          <w:sz w:val="21"/>
          <w:szCs w:val="21"/>
        </w:rPr>
        <w:t xml:space="preserve"> </w:t>
      </w:r>
    </w:p>
    <w:p w14:paraId="17AAA753" w14:textId="3B3B0CE6" w:rsidR="00086F1C" w:rsidRPr="00086F1C" w:rsidRDefault="00086F1C" w:rsidP="00086F1C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sz w:val="21"/>
          <w:szCs w:val="21"/>
        </w:rPr>
      </w:pPr>
      <w:r w:rsidRPr="00086F1C">
        <w:rPr>
          <w:rFonts w:ascii="Arial" w:hAnsi="Arial" w:cs="Arial"/>
          <w:sz w:val="21"/>
          <w:szCs w:val="21"/>
        </w:rPr>
        <w:t>São insetos </w:t>
      </w:r>
      <w:hyperlink r:id="rId7" w:tooltip="Holometabolismo" w:history="1">
        <w:r w:rsidRPr="00086F1C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holometabólicos</w:t>
        </w:r>
      </w:hyperlink>
      <w:r w:rsidRPr="00086F1C">
        <w:rPr>
          <w:rFonts w:ascii="Arial" w:hAnsi="Arial" w:cs="Arial"/>
          <w:sz w:val="21"/>
          <w:szCs w:val="21"/>
        </w:rPr>
        <w:t>, ou seja, realizam metamorfose completa, e apresentam muitas vezes </w:t>
      </w:r>
      <w:hyperlink r:id="rId8" w:tooltip="Dimorfismo sexual" w:history="1">
        <w:r w:rsidRPr="00086F1C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dimorfismo sexual</w:t>
        </w:r>
      </w:hyperlink>
      <w:r w:rsidRPr="00086F1C">
        <w:rPr>
          <w:rFonts w:ascii="Arial" w:hAnsi="Arial" w:cs="Arial"/>
          <w:sz w:val="21"/>
          <w:szCs w:val="21"/>
        </w:rPr>
        <w:t> entre machos e fêmeas, tendo a vida dividida em quatro estágios distintos: ovo, larva, pupa e imago. Seus estágios de larva e pupa recebem denominação típica, sendo chamados respectivamente de lagarta e crisálida.</w:t>
      </w:r>
      <w:r w:rsidRPr="00086F1C">
        <w:rPr>
          <w:rFonts w:ascii="Arial" w:hAnsi="Arial" w:cs="Arial"/>
          <w:sz w:val="21"/>
          <w:szCs w:val="21"/>
        </w:rPr>
        <w:t xml:space="preserve"> </w:t>
      </w:r>
    </w:p>
    <w:p w14:paraId="7B14387B" w14:textId="77777777" w:rsidR="001B084A" w:rsidRPr="00086F1C" w:rsidRDefault="001B084A"/>
    <w:sectPr w:rsidR="001B084A" w:rsidRPr="00086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1C"/>
    <w:rsid w:val="00086F1C"/>
    <w:rsid w:val="001B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30585"/>
  <w15:chartTrackingRefBased/>
  <w15:docId w15:val="{DB0EF6D4-E86A-46F1-A306-799A67EB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6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86F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3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Dimorfismo_sexu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Holometabolism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Polinizador" TargetMode="External"/><Relationship Id="rId5" Type="http://schemas.openxmlformats.org/officeDocument/2006/relationships/hyperlink" Target="https://pt.wikipedia.org/wiki/Inseto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t.wikipedia.org/wiki/Ordem_(biologia)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280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Ignacio</dc:creator>
  <cp:keywords/>
  <dc:description/>
  <cp:lastModifiedBy>Augusto Ignacio</cp:lastModifiedBy>
  <cp:revision>1</cp:revision>
  <dcterms:created xsi:type="dcterms:W3CDTF">2020-08-17T08:03:00Z</dcterms:created>
  <dcterms:modified xsi:type="dcterms:W3CDTF">2020-08-17T08:06:00Z</dcterms:modified>
</cp:coreProperties>
</file>