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Differential Expression Analysis: Results</w:t>
      </w:r>
    </w:p>
    <w:p>
      <w:r>
        <w:t>Zeng Aging Mouse 10Xv3 | Allen Institute ABC Atlas</w:t>
      </w:r>
    </w:p>
    <w:p>
      <w:pPr>
        <w:pStyle w:val="Heading1"/>
      </w:pPr>
      <w:r>
        <w:t>1. Scope and dataset</w:t>
      </w:r>
    </w:p>
    <w:p>
      <w:r>
        <w:t>This analysis compares donor-level gene expression across age groups without restricting cells to a specific brain region. The raw expression matrix comprised 1,162,565 cells and 32,285 genes. The metadata contained 108 donors across 30 donor_age labels.</w:t>
      </w:r>
    </w:p>
    <w:p>
      <w:pPr>
        <w:pStyle w:val="Heading1"/>
      </w:pPr>
      <w:r>
        <w:t>2. Age groups and comparison design</w:t>
      </w:r>
    </w:p>
    <w:p>
      <w:r>
        <w:t>The age_1 and age_2 fields are values of the donor_age metadata column; they are age categories, not individual sample identifiers. Individual donors are distinguished by donor_label. The dataset includes labels such as P53, P54, 9 wks and 18M. Age groups P57 and P551 had one donor each and were excluded from inferential pairwise testing. Thus, 28 eligible age groups yielded 378 pairwise comparisons.</w:t>
      </w:r>
    </w:p>
    <w:p>
      <w:pPr>
        <w:pStyle w:val="Heading1"/>
      </w:pPr>
      <w:r>
        <w:t>3. Statistical analysis</w:t>
      </w:r>
    </w:p>
    <w:p>
      <w:r>
        <w:t>Raw gene counts were summed across cells within each donor. The donor-by-gene matrix had 108 rows and 32,285 genes. Counts were converted to counts per million (CPM) and log1p-transformed. Each eligible age pair was compared per gene using a donor-level Welch t-test. Benjamini–Hochberg correction was applied within each age-pair comparison. Non-finite p-values were replaced with 1.0 prior to correction.</w:t>
      </w:r>
    </w:p>
    <w:p>
      <w:pPr>
        <w:pStyle w:val="Heading1"/>
      </w:pPr>
      <w:r>
        <w:t>4. Main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Cells</w:t>
            </w:r>
          </w:p>
        </w:tc>
        <w:tc>
          <w:tcPr>
            <w:tcW w:type="dxa" w:w="4320"/>
          </w:tcPr>
          <w:p>
            <w:r>
              <w:t>1,162,565</w:t>
            </w:r>
          </w:p>
        </w:tc>
      </w:tr>
      <w:tr>
        <w:tc>
          <w:tcPr>
            <w:tcW w:type="dxa" w:w="4320"/>
          </w:tcPr>
          <w:p>
            <w:r>
              <w:t>Genes tested per comparison</w:t>
            </w:r>
          </w:p>
        </w:tc>
        <w:tc>
          <w:tcPr>
            <w:tcW w:type="dxa" w:w="4320"/>
          </w:tcPr>
          <w:p>
            <w:r>
              <w:t>32,285</w:t>
            </w:r>
          </w:p>
        </w:tc>
      </w:tr>
      <w:tr>
        <w:tc>
          <w:tcPr>
            <w:tcW w:type="dxa" w:w="4320"/>
          </w:tcPr>
          <w:p>
            <w:r>
              <w:t>Donors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Age labels in metadata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Eligible age groups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Pairwise age comparisons</w:t>
            </w:r>
          </w:p>
        </w:tc>
        <w:tc>
          <w:tcPr>
            <w:tcW w:type="dxa" w:w="4320"/>
          </w:tcPr>
          <w:p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Catalog rows (378 × 32,285)</w:t>
            </w:r>
          </w:p>
        </w:tc>
        <w:tc>
          <w:tcPr>
            <w:tcW w:type="dxa" w:w="4320"/>
          </w:tcPr>
          <w:p>
            <w:r>
              <w:t>12,203,730</w:t>
            </w:r>
          </w:p>
        </w:tc>
      </w:tr>
      <w:tr>
        <w:tc>
          <w:tcPr>
            <w:tcW w:type="dxa" w:w="4320"/>
          </w:tcPr>
          <w:p>
            <w:r>
              <w:t>Catalog rows with FDR &lt; 0.05</w:t>
            </w:r>
          </w:p>
        </w:tc>
        <w:tc>
          <w:tcPr>
            <w:tcW w:type="dxa" w:w="4320"/>
          </w:tcPr>
          <w:p>
            <w:r>
              <w:t>11,075</w:t>
            </w:r>
          </w:p>
        </w:tc>
      </w:tr>
    </w:tbl>
    <w:p>
      <w:r>
        <w:t>The 11,075 figure counts significant gene–comparison rows, not necessarily 11,075 unique genes. A gene may be significant in multiple age comparisons.</w:t>
      </w:r>
    </w:p>
    <w:p>
      <w:pPr>
        <w:pStyle w:val="Heading1"/>
      </w:pPr>
      <w:r>
        <w:t>5. Clarification of the 668-gene observation</w:t>
      </w:r>
    </w:p>
    <w:p>
      <w:r>
        <w:t>An intermediate P53-versus-P54 test identified 668 genes with unadjusted p &lt; 0.05. This result refers to one specific age comparison and a raw-p-value threshold; it is not the final all-age catalog and must not be described as 668 FDR-significant genes. P53 and P54 are donor_age labels, whereas donor_label denotes individual donor identity.</w:t>
      </w:r>
    </w:p>
    <w:p>
      <w:pPr>
        <w:pStyle w:val="Heading1"/>
      </w:pPr>
      <w:r>
        <w:t>6. Output structure</w:t>
      </w:r>
    </w:p>
    <w:p>
      <w:r>
        <w:t>The principal output file was DE_catalog_all_age_pairwise.csv, generated in the Colab runtime. Its columns are: age_1, age_2, gene_identifier, gene_symbol, mean_log1pCPM_difference, p_value and FDR. Each row represents one gene in one age-pair comparison. The sign of mean_log1pCPM_difference depends on the age-group subtraction order in the notebook.</w:t>
      </w:r>
    </w:p>
    <w:p>
      <w:pPr>
        <w:pStyle w:val="Heading1"/>
      </w:pPr>
      <w:r>
        <w:t>7. Interpretation and limitations</w:t>
      </w:r>
    </w:p>
    <w:p>
      <w:pPr>
        <w:pStyle w:val="ListBullet"/>
      </w:pPr>
      <w:r>
        <w:t>These are cross-sectional comparisons between donor age groups, not repeated longitudinal measurements of the same mouse.</w:t>
      </w:r>
    </w:p>
    <w:p>
      <w:pPr>
        <w:pStyle w:val="ListBullet"/>
      </w:pPr>
      <w:r>
        <w:t>The analysis pools cells across brain regions. Changes in cell-type or regional composition could influence observed differences.</w:t>
      </w:r>
    </w:p>
    <w:p>
      <w:pPr>
        <w:pStyle w:val="ListBullet"/>
      </w:pPr>
      <w:r>
        <w:t>The method uses donor-level aggregation and gene-wise Welch tests. Results should be treated as exploratory and independently validated where possible.</w:t>
      </w:r>
    </w:p>
    <w:p>
      <w:pPr>
        <w:pStyle w:val="ListBullet"/>
      </w:pPr>
      <w:r>
        <w:t>The catalog is large; separate per-comparison tables can be derived by filtering age_1 and age_2. These subtables are a next deliverable, not files claimed to accompany this document.</w:t>
      </w:r>
    </w:p>
    <w:p>
      <w:pPr>
        <w:pStyle w:val="Heading1"/>
      </w:pPr>
      <w:r>
        <w:t>8. Reproducibility and availability</w:t>
      </w:r>
    </w:p>
    <w:p>
      <w:r>
        <w:t>The analysis notebook is Evangelia.ipynb in the project GitHub repository. The full CSV was created in the Colab runtime; this report does not imply that the CSV has been uploaded to GitHub. Re-run the notebook if the runtime output is no longer available.</w:t>
      </w:r>
    </w:p>
    <w:p>
      <w:r>
        <w:t>Dataset documentation: https://alleninstitute.github.io/abc_atlas_access/descriptions/Zeng_Aging_Mouse_10Xv3.html</w:t>
      </w:r>
    </w:p>
    <w:p>
      <w:r>
        <w:t>Project repository: https://github.com/evangeliachrysostomou2-create/Eva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ZENG AGING MOUSE 10Xv3  |  ANALYSIS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