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ARES NATIONAL TITLE</w:t>
      </w:r>
    </w:p>
    <w:p>
      <w:pPr>
        <w:pBdr>
          <w:bottom w:val="single" w:color="1F3864" w:sz="12" w:space="4"/>
        </w:pBd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Revenue Model :  The Case for Joint Ventures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Diversified settlement-services revenue, with JV title agencies as the scalable growth engine.    </w:t>
      </w:r>
      <w:r>
        <w:rPr>
          <w:rFonts w:ascii="Calibri" w:cs="Calibri" w:eastAsia="Calibri" w:hAnsi="Calibri"/>
          <w:color w:val="595959"/>
          <w:sz w:val="15"/>
          <w:szCs w:val="15"/>
        </w:rPr>
        <w:t xml:space="preserve">Prepared by Evan Grimm, Executive Director  |  July 2026  |  Confidential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The revenue model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ARES revenue comes from several streams. Joint ventures are one of them, and the one that scales fastest on infrastructure we already own.</w:t>
      </w:r>
    </w:p>
    <w:tbl>
      <w:tblPr>
        <w:tblW w:type="dxa" w:w="87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50"/>
        <w:gridCol w:w="4650"/>
        <w:gridCol w:w="1420"/>
      </w:tblGrid>
      <w:tr>
        <w:trPr>
          <w:tblHeader/>
        </w:trPr>
        <w:tc>
          <w:tcPr>
            <w:tcW w:type="dxa" w:w="26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Revenue stream</w:t>
            </w:r>
          </w:p>
        </w:tc>
        <w:tc>
          <w:tcPr>
            <w:tcW w:type="dxa" w:w="46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</w:t>
            </w:r>
          </w:p>
        </w:tc>
        <w:tc>
          <w:tcPr>
            <w:tcW w:type="dxa" w:w="14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Core retail title and settlement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Resale purchase closings for buyers and sellers</w:t>
            </w:r>
          </w:p>
        </w:tc>
        <w:tc>
          <w:tcPr>
            <w:tcW w:type="dxa" w:w="1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Lender and refinance channel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Title and settlement for mortgage originations</w:t>
            </w:r>
          </w:p>
        </w:tc>
        <w:tc>
          <w:tcPr>
            <w:tcW w:type="dxa" w:w="1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650"/>
            <w:shd w:fill="DBE2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Joint-venture title agencies</w:t>
            </w:r>
          </w:p>
        </w:tc>
        <w:tc>
          <w:tcPr>
            <w:tcW w:type="dxa" w:w="4650"/>
            <w:shd w:fill="DBE2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Our licensed agent and back office embedded inside a partner brokerage (the Banyan Tree model)</w:t>
            </w:r>
          </w:p>
        </w:tc>
        <w:tc>
          <w:tcPr>
            <w:tcW w:type="dxa" w:w="1420"/>
            <w:shd w:fill="DBE2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Live and scaling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Commercial, builder and developer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New-construction and commercial closings</w:t>
            </w:r>
          </w:p>
        </w:tc>
        <w:tc>
          <w:tcPr>
            <w:tcW w:type="dxa" w:w="1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Active / target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National multistate services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Title capability across 40 states</w:t>
            </w:r>
          </w:p>
        </w:tc>
        <w:tc>
          <w:tcPr>
            <w:tcW w:type="dxa" w:w="1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Back-office fulfillment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Running files for partner agencies on infrastructure we already own</w:t>
            </w:r>
          </w:p>
        </w:tc>
        <w:tc>
          <w:tcPr>
            <w:tcW w:type="dxa" w:w="14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Enabled</w:t>
            </w:r>
          </w:p>
        </w:tc>
      </w:tr>
    </w:tbl>
    <w:p>
      <w:pPr>
        <w:spacing w:after="40"/>
      </w:pP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Why joint ventures belong in the plan</w:t>
      </w:r>
    </w:p>
    <w:p>
      <w:pPr>
        <w:spacing w:after="55" w:line="234"/>
        <w:ind w:left="200" w:hanging="200"/>
      </w:pPr>
      <w:r>
        <w:rPr>
          <w:rFonts w:ascii="Calibri" w:cs="Calibri" w:eastAsia="Calibri" w:hAnsi="Calibri"/>
          <w:color w:val="1F3864"/>
          <w:sz w:val="19"/>
          <w:szCs w:val="19"/>
        </w:rPr>
        <w:t xml:space="preserve">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Captive volume for the cost of a desk. </w:t>
      </w:r>
      <w:r>
        <w:rPr>
          <w:rFonts w:ascii="Calibri" w:cs="Calibri" w:eastAsia="Calibri" w:hAnsi="Calibri"/>
          <w:sz w:val="19"/>
          <w:szCs w:val="19"/>
        </w:rPr>
        <w:t xml:space="preserve">A JV embeds our licensed agent and back office inside a brokerage that already produces the deal flow. We capture title revenue the brokerage was leaking to a competitor, with no book of business to buy.</w:t>
      </w:r>
    </w:p>
    <w:p>
      <w:pPr>
        <w:spacing w:after="55" w:line="234"/>
        <w:ind w:left="200" w:hanging="200"/>
      </w:pPr>
      <w:r>
        <w:rPr>
          <w:rFonts w:ascii="Calibri" w:cs="Calibri" w:eastAsia="Calibri" w:hAnsi="Calibri"/>
          <w:color w:val="1F3864"/>
          <w:sz w:val="19"/>
          <w:szCs w:val="19"/>
        </w:rPr>
        <w:t xml:space="preserve">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Margin on infrastructure we already own. </w:t>
      </w:r>
      <w:r>
        <w:rPr>
          <w:rFonts w:ascii="Calibri" w:cs="Calibri" w:eastAsia="Calibri" w:hAnsi="Calibri"/>
          <w:sz w:val="19"/>
          <w:szCs w:val="19"/>
        </w:rPr>
        <w:t xml:space="preserve">The back office, underwriter relationships, software, bonds, and compliance spine are built and paid for. Every JV file is incremental margin, not new fixed cost.</w:t>
      </w:r>
    </w:p>
    <w:p>
      <w:pPr>
        <w:spacing w:after="55" w:line="234"/>
        <w:ind w:left="200" w:hanging="200"/>
      </w:pPr>
      <w:r>
        <w:rPr>
          <w:rFonts w:ascii="Calibri" w:cs="Calibri" w:eastAsia="Calibri" w:hAnsi="Calibri"/>
          <w:color w:val="1F3864"/>
          <w:sz w:val="19"/>
          <w:szCs w:val="19"/>
        </w:rPr>
        <w:t xml:space="preserve">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Repeatable and low-capital. </w:t>
      </w:r>
      <w:r>
        <w:rPr>
          <w:rFonts w:ascii="Calibri" w:cs="Calibri" w:eastAsia="Calibri" w:hAnsi="Calibri"/>
          <w:sz w:val="19"/>
          <w:szCs w:val="19"/>
        </w:rPr>
        <w:t xml:space="preserve">Nothing in the structure is unique to one partner. Any brokerage with volume is a candidate. JVs turn brokerages into distribution.</w:t>
      </w:r>
    </w:p>
    <w:p>
      <w:pPr>
        <w:spacing w:after="55" w:line="234"/>
        <w:ind w:left="200" w:hanging="200"/>
      </w:pPr>
      <w:r>
        <w:rPr>
          <w:rFonts w:ascii="Calibri" w:cs="Calibri" w:eastAsia="Calibri" w:hAnsi="Calibri"/>
          <w:color w:val="1F3864"/>
          <w:sz w:val="19"/>
          <w:szCs w:val="19"/>
        </w:rPr>
        <w:t xml:space="preserve">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Contained risk. </w:t>
      </w:r>
      <w:r>
        <w:rPr>
          <w:rFonts w:ascii="Calibri" w:cs="Calibri" w:eastAsia="Calibri" w:hAnsi="Calibri"/>
          <w:sz w:val="19"/>
          <w:szCs w:val="19"/>
        </w:rPr>
        <w:t xml:space="preserve">Legal and licensing, marketing, a subleased desk, and working capital. Compliance (FDFS, RESPA, Gramm-Leach-Bliley, ALTA Best Practices) is the operating standard, not a special risk.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Proof of concept: QTS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The model is not theoretical. QTS ran this exact structure, and its filed tax returns document the economics: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Revenue: 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[QTS figure to insert]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Operating margin: 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[QTS figure to insert]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Period: 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[years to insert]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Banyan Tree Title is the same machine, live today at small scale inside Realty One Sunshine. The template is proven; the only variable is how fast we deploy it.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The move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Treat JVs as a program, not a one-off favor. Lock the JV structure as a template, and stand up the next two brokerage partners while Banyan Tree seasons. The machine is already built.</w:t>
      </w:r>
    </w:p>
    <w:p>
      <w:pPr>
        <w:pBdr>
          <w:top w:val="single" w:color="BFBFBF" w:sz="4" w:space="4"/>
        </w:pBdr>
        <w:spacing w:before="120"/>
      </w:pPr>
      <w:r>
        <w:rPr>
          <w:rFonts w:ascii="Calibri" w:cs="Calibri" w:eastAsia="Calibri" w:hAnsi="Calibri"/>
          <w:i/>
          <w:iCs/>
          <w:color w:val="595959"/>
          <w:sz w:val="14"/>
          <w:szCs w:val="14"/>
        </w:rPr>
        <w:t xml:space="preserve">Revenue-stream framework and QTS figures to be confirmed by ARES before external use.</w:t>
      </w:r>
    </w:p>
    <w:sectPr>
      <w:pgSz w:w="12240" w:h="15840" w:orient="portrait"/>
      <w:pgMar w:top="1080" w:right="1224" w:bottom="90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ARES Revenue Model - The Case for Joint Ventures</dc:title>
  <dc:creator>ARES</dc:creator>
  <cp:lastModifiedBy>Un-named</cp:lastModifiedBy>
  <cp:revision>1</cp:revision>
  <dcterms:created xsi:type="dcterms:W3CDTF">2026-07-10T13:54:14.545Z</dcterms:created>
  <dcterms:modified xsi:type="dcterms:W3CDTF">2026-07-10T13:54:14.559Z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