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0"/>
          <w:szCs w:val="30"/>
        </w:rPr>
        <w:t xml:space="preserve">MEMORANDUM</w:t>
      </w:r>
    </w:p>
    <w:p>
      <w:pPr>
        <w:pBdr>
          <w:bottom w:val="single" w:color="1F3864" w:sz="10" w:space="6"/>
        </w:pBdr>
        <w:spacing w:after="200"/>
      </w:pPr>
      <w:r>
        <w:rPr>
          <w:rFonts w:ascii="Calibri" w:cs="Calibri" w:eastAsia="Calibri" w:hAnsi="Calibri"/>
          <w:color w:val="595959"/>
          <w:sz w:val="18"/>
          <w:szCs w:val="18"/>
        </w:rPr>
        <w:t xml:space="preserve">ARES  |  Confidential</w:t>
      </w:r>
    </w:p>
    <w:p>
      <w:pPr>
        <w:spacing w:after="40"/>
      </w:pPr>
      <w:r>
        <w:rPr>
          <w:rFonts w:ascii="Calibri" w:cs="Calibri" w:eastAsia="Calibri" w:hAnsi="Calibri"/>
          <w:b/>
          <w:bCs/>
          <w:sz w:val="22"/>
          <w:szCs w:val="22"/>
        </w:rPr>
        <w:t xml:space="preserve">To:  </w:t>
      </w:r>
      <w:r>
        <w:rPr>
          <w:rFonts w:ascii="Calibri" w:cs="Calibri" w:eastAsia="Calibri" w:hAnsi="Calibri"/>
          <w:sz w:val="22"/>
          <w:szCs w:val="22"/>
        </w:rPr>
        <w:t xml:space="preserve">Stephen Kaufman, CFO</w:t>
      </w:r>
    </w:p>
    <w:p>
      <w:pPr>
        <w:spacing w:after="40"/>
      </w:pPr>
      <w:r>
        <w:rPr>
          <w:rFonts w:ascii="Calibri" w:cs="Calibri" w:eastAsia="Calibri" w:hAnsi="Calibri"/>
          <w:b/>
          <w:bCs/>
          <w:sz w:val="22"/>
          <w:szCs w:val="22"/>
        </w:rPr>
        <w:t xml:space="preserve">From:  </w:t>
      </w:r>
      <w:r>
        <w:rPr>
          <w:rFonts w:ascii="Calibri" w:cs="Calibri" w:eastAsia="Calibri" w:hAnsi="Calibri"/>
          <w:sz w:val="22"/>
          <w:szCs w:val="22"/>
        </w:rPr>
        <w:t xml:space="preserve">Evan Grimm, Executive Director</w:t>
      </w:r>
    </w:p>
    <w:p>
      <w:pPr>
        <w:spacing w:after="40"/>
      </w:pPr>
      <w:r>
        <w:rPr>
          <w:rFonts w:ascii="Calibri" w:cs="Calibri" w:eastAsia="Calibri" w:hAnsi="Calibri"/>
          <w:b/>
          <w:bCs/>
          <w:sz w:val="22"/>
          <w:szCs w:val="22"/>
        </w:rPr>
        <w:t xml:space="preserve">Date:  </w:t>
      </w:r>
      <w:r>
        <w:rPr>
          <w:rFonts w:ascii="Calibri" w:cs="Calibri" w:eastAsia="Calibri" w:hAnsi="Calibri"/>
          <w:sz w:val="22"/>
          <w:szCs w:val="22"/>
        </w:rPr>
        <w:t xml:space="preserve">July 6, 2026</w:t>
      </w:r>
    </w:p>
    <w:p>
      <w:pPr>
        <w:spacing w:after="40"/>
      </w:pPr>
      <w:r>
        <w:rPr>
          <w:rFonts w:ascii="Calibri" w:cs="Calibri" w:eastAsia="Calibri" w:hAnsi="Calibri"/>
          <w:b/>
          <w:bCs/>
          <w:sz w:val="22"/>
          <w:szCs w:val="22"/>
        </w:rPr>
        <w:t xml:space="preserve">Re:  </w:t>
      </w:r>
      <w:r>
        <w:rPr>
          <w:rFonts w:ascii="Calibri" w:cs="Calibri" w:eastAsia="Calibri" w:hAnsi="Calibri"/>
          <w:sz w:val="22"/>
          <w:szCs w:val="22"/>
        </w:rPr>
        <w:t xml:space="preserve">Banyan Tree Title, LLC, proof of model, and the ask</w:t>
      </w:r>
    </w:p>
    <w:p>
      <w:pPr>
        <w:pBdr>
          <w:bottom w:val="single" w:color="BFBFBF" w:sz="6" w:space="4"/>
        </w:pBdr>
        <w:spacing w:after="160" w:before="120"/>
      </w:pPr>
      <w:r>
        <w:rPr>
          <w:sz w:val="2"/>
          <w:szCs w:val="2"/>
        </w:rPr>
        <w:t xml:space="preserve"/>
      </w:r>
    </w:p>
    <w:p>
      <w:pPr>
        <w:spacing w:after="90" w:before="260"/>
      </w:pPr>
      <w:r>
        <w:rPr>
          <w:rFonts w:ascii="Calibri" w:cs="Calibri" w:eastAsia="Calibri" w:hAnsi="Calibri"/>
          <w:b/>
          <w:bCs/>
          <w:color w:val="1F3864"/>
          <w:sz w:val="24"/>
          <w:szCs w:val="24"/>
        </w:rPr>
        <w:t xml:space="preserve">The Play</w:t>
      </w:r>
    </w:p>
    <w:p>
      <w:pPr>
        <w:spacing w:after="140" w:line="276"/>
        <w:jc w:val="both"/>
      </w:pPr>
      <w:r>
        <w:rPr>
          <w:rFonts w:ascii="Calibri" w:cs="Calibri" w:eastAsia="Calibri" w:hAnsi="Calibri"/>
          <w:sz w:val="22"/>
          <w:szCs w:val="22"/>
        </w:rPr>
        <w:t xml:space="preserve">We stood up a title agency inside a real estate brokerage. It works. I have done this before, at scale, in 40 states. Banyan Tree is the small version of a machine I already know how to build. This memo is not asking whether it can work. It asks whether ARES wants to own the model while it is cheap to own.</w:t>
      </w:r>
    </w:p>
    <w:p>
      <w:pPr>
        <w:spacing w:after="90" w:before="260"/>
      </w:pPr>
      <w:r>
        <w:rPr>
          <w:rFonts w:ascii="Calibri" w:cs="Calibri" w:eastAsia="Calibri" w:hAnsi="Calibri"/>
          <w:b/>
          <w:bCs/>
          <w:color w:val="1F3864"/>
          <w:sz w:val="24"/>
          <w:szCs w:val="24"/>
        </w:rPr>
        <w:t xml:space="preserve">What Banyan Tree Already Proves</w:t>
      </w:r>
    </w:p>
    <w:p>
      <w:pPr>
        <w:spacing w:after="140" w:line="276"/>
        <w:jc w:val="both"/>
      </w:pPr>
      <w:r>
        <w:rPr>
          <w:rFonts w:ascii="Calibri" w:cs="Calibri" w:eastAsia="Calibri" w:hAnsi="Calibri"/>
          <w:sz w:val="22"/>
          <w:szCs w:val="22"/>
        </w:rPr>
        <w:t xml:space="preserve">One brokerage. One licensed agent on their floor. Our back office behind the glass. Realty One Sunshine brings the deal flow and the address. We bring 25 years of title operations, the underwriter relationships, the software, the bonds, and the compliance spine. The brokerage stops leaking title revenue to a competitor. We capture a book of business we did not have to buy. That is the whole thesis. It scales because nothing in it is unique to Realty One. Any brokerage with volume and a decent lease is a candidate. Banyan Tree is the template.</w:t>
      </w:r>
    </w:p>
    <w:p>
      <w:pPr>
        <w:spacing w:after="90" w:before="260"/>
      </w:pPr>
      <w:r>
        <w:rPr>
          <w:rFonts w:ascii="Calibri" w:cs="Calibri" w:eastAsia="Calibri" w:hAnsi="Calibri"/>
          <w:b/>
          <w:bCs/>
          <w:color w:val="1F3864"/>
          <w:sz w:val="24"/>
          <w:szCs w:val="24"/>
        </w:rPr>
        <w:t xml:space="preserve">Sources of Business</w:t>
      </w:r>
    </w:p>
    <w:p>
      <w:pPr>
        <w:spacing w:after="140" w:line="276"/>
        <w:jc w:val="both"/>
      </w:pPr>
      <w:r>
        <w:rPr>
          <w:rFonts w:ascii="Calibri" w:cs="Calibri" w:eastAsia="Calibri" w:hAnsi="Calibri"/>
          <w:sz w:val="22"/>
          <w:szCs w:val="22"/>
        </w:rPr>
        <w:t xml:space="preserve">Internal, day one: Realty One Sunshine's active listings, their agents' buyers and sellers, their referral partners. Captive volume for the cost of a desk. External, quarters two through four: independent agents and brokerages, mortgage lenders and brokers, builders and developers, investors, and closing attorneys who refer out. The on-site agent sells service. The marketing seat sells relationships.</w:t>
      </w:r>
    </w:p>
    <w:p>
      <w:pPr>
        <w:spacing w:after="90" w:before="260"/>
      </w:pPr>
      <w:r>
        <w:rPr>
          <w:rFonts w:ascii="Calibri" w:cs="Calibri" w:eastAsia="Calibri" w:hAnsi="Calibri"/>
          <w:b/>
          <w:bCs/>
          <w:color w:val="1F3864"/>
          <w:sz w:val="24"/>
          <w:szCs w:val="24"/>
        </w:rPr>
        <w:t xml:space="preserve">Target Market</w:t>
      </w:r>
    </w:p>
    <w:p>
      <w:pPr>
        <w:spacing w:after="140" w:line="276"/>
        <w:jc w:val="both"/>
      </w:pPr>
      <w:r>
        <w:rPr>
          <w:rFonts w:ascii="Calibri" w:cs="Calibri" w:eastAsia="Calibri" w:hAnsi="Calibri"/>
          <w:sz w:val="22"/>
          <w:szCs w:val="22"/>
        </w:rPr>
        <w:t xml:space="preserve">Saint Petersburg first, the Tampa Bay MSA behind it. Pinellas, Hillsborough, Pasco, Hernando. A growth market with real transaction volume and a lot of small title shops that do not have our operational depth. The most recent market data for the four-county MSA is below.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2900"/>
        <w:gridCol w:w="900"/>
        <w:gridCol w:w="1000"/>
        <w:gridCol w:w="2460"/>
      </w:tblGrid>
      <w:tr>
        <w:trPr>
          <w:tblHeader/>
        </w:trPr>
        <w:tc>
          <w:tcPr>
            <w:tcW w:type="dxa" w:w="2100"/>
            <w:shd w:fill="1F3864" w:color="auto" w:val="clear"/>
            <w:tcMar>
              <w:top w:type="dxa" w:w="70"/>
              <w:left w:type="dxa" w:w="90"/>
              <w:bottom w:type="dxa" w:w="70"/>
              <w:right w:type="dxa" w:w="90"/>
            </w:tcMar>
          </w:tcPr>
          <w:p>
            <w:r>
              <w:rPr>
                <w:rFonts w:ascii="Calibri" w:cs="Calibri" w:eastAsia="Calibri" w:hAnsi="Calibri"/>
                <w:b/>
                <w:bCs/>
                <w:color w:val="FFFFFF"/>
                <w:sz w:val="18"/>
                <w:szCs w:val="18"/>
              </w:rPr>
              <w:t xml:space="preserve">Metric</w:t>
            </w:r>
          </w:p>
        </w:tc>
        <w:tc>
          <w:tcPr>
            <w:tcW w:type="dxa" w:w="2900"/>
            <w:shd w:fill="1F3864" w:color="auto" w:val="clear"/>
            <w:tcMar>
              <w:top w:type="dxa" w:w="70"/>
              <w:left w:type="dxa" w:w="90"/>
              <w:bottom w:type="dxa" w:w="70"/>
              <w:right w:type="dxa" w:w="90"/>
            </w:tcMar>
          </w:tcPr>
          <w:p>
            <w:r>
              <w:rPr>
                <w:rFonts w:ascii="Calibri" w:cs="Calibri" w:eastAsia="Calibri" w:hAnsi="Calibri"/>
                <w:b/>
                <w:bCs/>
                <w:color w:val="FFFFFF"/>
                <w:sz w:val="18"/>
                <w:szCs w:val="18"/>
              </w:rPr>
              <w:t xml:space="preserve">Most Recent Figure</w:t>
            </w:r>
          </w:p>
        </w:tc>
        <w:tc>
          <w:tcPr>
            <w:tcW w:type="dxa" w:w="900"/>
            <w:shd w:fill="1F3864" w:color="auto" w:val="clear"/>
            <w:tcMar>
              <w:top w:type="dxa" w:w="70"/>
              <w:left w:type="dxa" w:w="90"/>
              <w:bottom w:type="dxa" w:w="70"/>
              <w:right w:type="dxa" w:w="90"/>
            </w:tcMar>
          </w:tcPr>
          <w:p>
            <w:r>
              <w:rPr>
                <w:rFonts w:ascii="Calibri" w:cs="Calibri" w:eastAsia="Calibri" w:hAnsi="Calibri"/>
                <w:b/>
                <w:bCs/>
                <w:color w:val="FFFFFF"/>
                <w:sz w:val="18"/>
                <w:szCs w:val="18"/>
              </w:rPr>
              <w:t xml:space="preserve">Geography</w:t>
            </w:r>
          </w:p>
        </w:tc>
        <w:tc>
          <w:tcPr>
            <w:tcW w:type="dxa" w:w="1000"/>
            <w:shd w:fill="1F3864" w:color="auto" w:val="clear"/>
            <w:tcMar>
              <w:top w:type="dxa" w:w="70"/>
              <w:left w:type="dxa" w:w="90"/>
              <w:bottom w:type="dxa" w:w="70"/>
              <w:right w:type="dxa" w:w="90"/>
            </w:tcMar>
          </w:tcPr>
          <w:p>
            <w:r>
              <w:rPr>
                <w:rFonts w:ascii="Calibri" w:cs="Calibri" w:eastAsia="Calibri" w:hAnsi="Calibri"/>
                <w:b/>
                <w:bCs/>
                <w:color w:val="FFFFFF"/>
                <w:sz w:val="18"/>
                <w:szCs w:val="18"/>
              </w:rPr>
              <w:t xml:space="preserve">As Of</w:t>
            </w:r>
          </w:p>
        </w:tc>
        <w:tc>
          <w:tcPr>
            <w:tcW w:type="dxa" w:w="2460"/>
            <w:shd w:fill="1F3864" w:color="auto" w:val="clear"/>
            <w:tcMar>
              <w:top w:type="dxa" w:w="70"/>
              <w:left w:type="dxa" w:w="90"/>
              <w:bottom w:type="dxa" w:w="70"/>
              <w:right w:type="dxa" w:w="90"/>
            </w:tcMar>
          </w:tcPr>
          <w:p>
            <w:r>
              <w:rPr>
                <w:rFonts w:ascii="Calibri" w:cs="Calibri" w:eastAsia="Calibri" w:hAnsi="Calibri"/>
                <w:b/>
                <w:bCs/>
                <w:color w:val="FFFFFF"/>
                <w:sz w:val="18"/>
                <w:szCs w:val="18"/>
              </w:rPr>
              <w:t xml:space="preserve">Source</w:t>
            </w:r>
          </w:p>
        </w:tc>
      </w:tr>
      <w:tr>
        <w:tc>
          <w:tcPr>
            <w:tcW w:type="dxa" w:w="2100"/>
            <w:tcMar>
              <w:top w:type="dxa" w:w="70"/>
              <w:left w:type="dxa" w:w="90"/>
              <w:bottom w:type="dxa" w:w="70"/>
              <w:right w:type="dxa" w:w="90"/>
            </w:tcMar>
          </w:tcPr>
          <w:p>
            <w:r>
              <w:rPr>
                <w:rFonts w:ascii="Calibri" w:cs="Calibri" w:eastAsia="Calibri" w:hAnsi="Calibri"/>
                <w:b w:val="false"/>
                <w:bCs w:val="false"/>
                <w:color w:val="000000"/>
                <w:sz w:val="18"/>
                <w:szCs w:val="18"/>
              </w:rPr>
              <w:t xml:space="preserve">Annual home sales (purchase transactions)</w:t>
            </w:r>
          </w:p>
        </w:tc>
        <w:tc>
          <w:tcPr>
            <w:tcW w:type="dxa" w:w="2900"/>
            <w:tcMar>
              <w:top w:type="dxa" w:w="70"/>
              <w:left w:type="dxa" w:w="90"/>
              <w:bottom w:type="dxa" w:w="70"/>
              <w:right w:type="dxa" w:w="90"/>
            </w:tcMar>
          </w:tcPr>
          <w:p>
            <w:r>
              <w:rPr>
                <w:rFonts w:ascii="Calibri" w:cs="Calibri" w:eastAsia="Calibri" w:hAnsi="Calibri"/>
                <w:b w:val="false"/>
                <w:bCs w:val="false"/>
                <w:color w:val="000000"/>
                <w:sz w:val="18"/>
                <w:szCs w:val="18"/>
              </w:rPr>
              <w:t xml:space="preserve">Consolidated full-year 2025 MSA total not available from public sources; most recent monthly closed sales 2,591 (single-family)</w:t>
            </w:r>
          </w:p>
        </w:tc>
        <w:tc>
          <w:tcPr>
            <w:tcW w:type="dxa" w:w="900"/>
            <w:tcMar>
              <w:top w:type="dxa" w:w="70"/>
              <w:left w:type="dxa" w:w="90"/>
              <w:bottom w:type="dxa" w:w="70"/>
              <w:right w:type="dxa" w:w="90"/>
            </w:tcMar>
          </w:tcPr>
          <w:p>
            <w:r>
              <w:rPr>
                <w:rFonts w:ascii="Calibri" w:cs="Calibri" w:eastAsia="Calibri" w:hAnsi="Calibri"/>
                <w:b w:val="false"/>
                <w:bCs w:val="false"/>
                <w:color w:val="000000"/>
                <w:sz w:val="18"/>
                <w:szCs w:val="18"/>
              </w:rPr>
              <w:t xml:space="preserve">MSA</w:t>
            </w:r>
          </w:p>
        </w:tc>
        <w:tc>
          <w:tcPr>
            <w:tcW w:type="dxa" w:w="1000"/>
            <w:tcMar>
              <w:top w:type="dxa" w:w="70"/>
              <w:left w:type="dxa" w:w="90"/>
              <w:bottom w:type="dxa" w:w="70"/>
              <w:right w:type="dxa" w:w="90"/>
            </w:tcMar>
          </w:tcPr>
          <w:p>
            <w:r>
              <w:rPr>
                <w:rFonts w:ascii="Calibri" w:cs="Calibri" w:eastAsia="Calibri" w:hAnsi="Calibri"/>
                <w:b w:val="false"/>
                <w:bCs w:val="false"/>
                <w:color w:val="000000"/>
                <w:sz w:val="18"/>
                <w:szCs w:val="18"/>
              </w:rPr>
              <w:t xml:space="preserve">Nov 2025</w:t>
            </w:r>
          </w:p>
        </w:tc>
        <w:tc>
          <w:tcPr>
            <w:tcW w:type="dxa" w:w="2460"/>
            <w:tcMar>
              <w:top w:type="dxa" w:w="70"/>
              <w:left w:type="dxa" w:w="90"/>
              <w:bottom w:type="dxa" w:w="70"/>
              <w:right w:type="dxa" w:w="90"/>
            </w:tcMar>
          </w:tcPr>
          <w:p>
            <w:r>
              <w:rPr>
                <w:rFonts w:ascii="Calibri" w:cs="Calibri" w:eastAsia="Calibri" w:hAnsi="Calibri"/>
                <w:b w:val="false"/>
                <w:bCs w:val="false"/>
                <w:color w:val="000000"/>
                <w:sz w:val="18"/>
                <w:szCs w:val="18"/>
              </w:rPr>
              <w:t xml:space="preserve">Florida Realtors / Stellar MLS</w:t>
            </w:r>
          </w:p>
        </w:tc>
      </w:tr>
      <w:tr>
        <w:tc>
          <w:tcPr>
            <w:tcW w:type="dxa" w:w="2100"/>
            <w:tcMar>
              <w:top w:type="dxa" w:w="70"/>
              <w:left w:type="dxa" w:w="90"/>
              <w:bottom w:type="dxa" w:w="70"/>
              <w:right w:type="dxa" w:w="90"/>
            </w:tcMar>
          </w:tcPr>
          <w:p>
            <w:r>
              <w:rPr>
                <w:rFonts w:ascii="Calibri" w:cs="Calibri" w:eastAsia="Calibri" w:hAnsi="Calibri"/>
                <w:b w:val="false"/>
                <w:bCs w:val="false"/>
                <w:color w:val="000000"/>
                <w:sz w:val="18"/>
                <w:szCs w:val="18"/>
              </w:rPr>
              <w:t xml:space="preserve">Purchase-loan originations</w:t>
            </w:r>
          </w:p>
        </w:tc>
        <w:tc>
          <w:tcPr>
            <w:tcW w:type="dxa" w:w="2900"/>
            <w:tcMar>
              <w:top w:type="dxa" w:w="70"/>
              <w:left w:type="dxa" w:w="90"/>
              <w:bottom w:type="dxa" w:w="70"/>
              <w:right w:type="dxa" w:w="90"/>
            </w:tcMar>
          </w:tcPr>
          <w:p>
            <w:r>
              <w:rPr>
                <w:rFonts w:ascii="Calibri" w:cs="Calibri" w:eastAsia="Calibri" w:hAnsi="Calibri"/>
                <w:b w:val="false"/>
                <w:bCs w:val="false"/>
                <w:color w:val="000000"/>
                <w:sz w:val="18"/>
                <w:szCs w:val="18"/>
              </w:rPr>
              <w:t xml:space="preserve">Data not available (HMDA figures could not be retrieved during preparation; not estimated)</w:t>
            </w:r>
          </w:p>
        </w:tc>
        <w:tc>
          <w:tcPr>
            <w:tcW w:type="dxa" w:w="900"/>
            <w:tcMar>
              <w:top w:type="dxa" w:w="70"/>
              <w:left w:type="dxa" w:w="90"/>
              <w:bottom w:type="dxa" w:w="70"/>
              <w:right w:type="dxa" w:w="90"/>
            </w:tcMar>
          </w:tcPr>
          <w:p>
            <w:r>
              <w:rPr>
                <w:rFonts w:ascii="Calibri" w:cs="Calibri" w:eastAsia="Calibri" w:hAnsi="Calibri"/>
                <w:b w:val="false"/>
                <w:bCs w:val="false"/>
                <w:color w:val="000000"/>
                <w:sz w:val="18"/>
                <w:szCs w:val="18"/>
              </w:rPr>
              <w:t xml:space="preserve">MSA</w:t>
            </w:r>
          </w:p>
        </w:tc>
        <w:tc>
          <w:tcPr>
            <w:tcW w:type="dxa" w:w="1000"/>
            <w:tcMar>
              <w:top w:type="dxa" w:w="70"/>
              <w:left w:type="dxa" w:w="90"/>
              <w:bottom w:type="dxa" w:w="70"/>
              <w:right w:type="dxa" w:w="90"/>
            </w:tcMar>
          </w:tcPr>
          <w:p>
            <w:r>
              <w:rPr>
                <w:rFonts w:ascii="Calibri" w:cs="Calibri" w:eastAsia="Calibri" w:hAnsi="Calibri"/>
                <w:b w:val="false"/>
                <w:bCs w:val="false"/>
                <w:color w:val="000000"/>
                <w:sz w:val="18"/>
                <w:szCs w:val="18"/>
              </w:rPr>
              <w:t xml:space="preserve">2024 (HMDA)</w:t>
            </w:r>
          </w:p>
        </w:tc>
        <w:tc>
          <w:tcPr>
            <w:tcW w:type="dxa" w:w="2460"/>
            <w:tcMar>
              <w:top w:type="dxa" w:w="70"/>
              <w:left w:type="dxa" w:w="90"/>
              <w:bottom w:type="dxa" w:w="70"/>
              <w:right w:type="dxa" w:w="90"/>
            </w:tcMar>
          </w:tcPr>
          <w:p>
            <w:r>
              <w:rPr>
                <w:rFonts w:ascii="Calibri" w:cs="Calibri" w:eastAsia="Calibri" w:hAnsi="Calibri"/>
                <w:b w:val="false"/>
                <w:bCs w:val="false"/>
                <w:color w:val="000000"/>
                <w:sz w:val="18"/>
                <w:szCs w:val="18"/>
              </w:rPr>
              <w:t xml:space="preserve">HMDA / CFPB</w:t>
            </w:r>
          </w:p>
        </w:tc>
      </w:tr>
      <w:tr>
        <w:tc>
          <w:tcPr>
            <w:tcW w:type="dxa" w:w="2100"/>
            <w:tcMar>
              <w:top w:type="dxa" w:w="70"/>
              <w:left w:type="dxa" w:w="90"/>
              <w:bottom w:type="dxa" w:w="70"/>
              <w:right w:type="dxa" w:w="90"/>
            </w:tcMar>
          </w:tcPr>
          <w:p>
            <w:r>
              <w:rPr>
                <w:rFonts w:ascii="Calibri" w:cs="Calibri" w:eastAsia="Calibri" w:hAnsi="Calibri"/>
                <w:b w:val="false"/>
                <w:bCs w:val="false"/>
                <w:color w:val="000000"/>
                <w:sz w:val="18"/>
                <w:szCs w:val="18"/>
              </w:rPr>
              <w:t xml:space="preserve">Months of housing inventory</w:t>
            </w:r>
          </w:p>
        </w:tc>
        <w:tc>
          <w:tcPr>
            <w:tcW w:type="dxa" w:w="2900"/>
            <w:tcMar>
              <w:top w:type="dxa" w:w="70"/>
              <w:left w:type="dxa" w:w="90"/>
              <w:bottom w:type="dxa" w:w="70"/>
              <w:right w:type="dxa" w:w="90"/>
            </w:tcMar>
          </w:tcPr>
          <w:p>
            <w:r>
              <w:rPr>
                <w:rFonts w:ascii="Calibri" w:cs="Calibri" w:eastAsia="Calibri" w:hAnsi="Calibri"/>
                <w:b w:val="false"/>
                <w:bCs w:val="false"/>
                <w:color w:val="000000"/>
                <w:sz w:val="18"/>
                <w:szCs w:val="18"/>
              </w:rPr>
              <w:t xml:space="preserve">3.8 months (single-family; 3.5 months a year earlier)</w:t>
            </w:r>
          </w:p>
        </w:tc>
        <w:tc>
          <w:tcPr>
            <w:tcW w:type="dxa" w:w="900"/>
            <w:tcMar>
              <w:top w:type="dxa" w:w="70"/>
              <w:left w:type="dxa" w:w="90"/>
              <w:bottom w:type="dxa" w:w="70"/>
              <w:right w:type="dxa" w:w="90"/>
            </w:tcMar>
          </w:tcPr>
          <w:p>
            <w:r>
              <w:rPr>
                <w:rFonts w:ascii="Calibri" w:cs="Calibri" w:eastAsia="Calibri" w:hAnsi="Calibri"/>
                <w:b w:val="false"/>
                <w:bCs w:val="false"/>
                <w:color w:val="000000"/>
                <w:sz w:val="18"/>
                <w:szCs w:val="18"/>
              </w:rPr>
              <w:t xml:space="preserve">MSA</w:t>
            </w:r>
          </w:p>
        </w:tc>
        <w:tc>
          <w:tcPr>
            <w:tcW w:type="dxa" w:w="1000"/>
            <w:tcMar>
              <w:top w:type="dxa" w:w="70"/>
              <w:left w:type="dxa" w:w="90"/>
              <w:bottom w:type="dxa" w:w="70"/>
              <w:right w:type="dxa" w:w="90"/>
            </w:tcMar>
          </w:tcPr>
          <w:p>
            <w:r>
              <w:rPr>
                <w:rFonts w:ascii="Calibri" w:cs="Calibri" w:eastAsia="Calibri" w:hAnsi="Calibri"/>
                <w:b w:val="false"/>
                <w:bCs w:val="false"/>
                <w:color w:val="000000"/>
                <w:sz w:val="18"/>
                <w:szCs w:val="18"/>
              </w:rPr>
              <w:t xml:space="preserve">Nov 2025</w:t>
            </w:r>
          </w:p>
        </w:tc>
        <w:tc>
          <w:tcPr>
            <w:tcW w:type="dxa" w:w="2460"/>
            <w:tcMar>
              <w:top w:type="dxa" w:w="70"/>
              <w:left w:type="dxa" w:w="90"/>
              <w:bottom w:type="dxa" w:w="70"/>
              <w:right w:type="dxa" w:w="90"/>
            </w:tcMar>
          </w:tcPr>
          <w:p>
            <w:r>
              <w:rPr>
                <w:rFonts w:ascii="Calibri" w:cs="Calibri" w:eastAsia="Calibri" w:hAnsi="Calibri"/>
                <w:b w:val="false"/>
                <w:bCs w:val="false"/>
                <w:color w:val="000000"/>
                <w:sz w:val="18"/>
                <w:szCs w:val="18"/>
              </w:rPr>
              <w:t xml:space="preserve">Florida Realtors / Stellar MLS</w:t>
            </w:r>
          </w:p>
        </w:tc>
      </w:tr>
      <w:tr>
        <w:tc>
          <w:tcPr>
            <w:tcW w:type="dxa" w:w="2100"/>
            <w:tcMar>
              <w:top w:type="dxa" w:w="70"/>
              <w:left w:type="dxa" w:w="90"/>
              <w:bottom w:type="dxa" w:w="70"/>
              <w:right w:type="dxa" w:w="90"/>
            </w:tcMar>
          </w:tcPr>
          <w:p>
            <w:r>
              <w:rPr>
                <w:rFonts w:ascii="Calibri" w:cs="Calibri" w:eastAsia="Calibri" w:hAnsi="Calibri"/>
                <w:b w:val="false"/>
                <w:bCs w:val="false"/>
                <w:color w:val="000000"/>
                <w:sz w:val="18"/>
                <w:szCs w:val="18"/>
              </w:rPr>
              <w:t xml:space="preserve">Median home price</w:t>
            </w:r>
          </w:p>
        </w:tc>
        <w:tc>
          <w:tcPr>
            <w:tcW w:type="dxa" w:w="2900"/>
            <w:tcMar>
              <w:top w:type="dxa" w:w="70"/>
              <w:left w:type="dxa" w:w="90"/>
              <w:bottom w:type="dxa" w:w="70"/>
              <w:right w:type="dxa" w:w="90"/>
            </w:tcMar>
          </w:tcPr>
          <w:p>
            <w:r>
              <w:rPr>
                <w:rFonts w:ascii="Calibri" w:cs="Calibri" w:eastAsia="Calibri" w:hAnsi="Calibri"/>
                <w:b w:val="false"/>
                <w:bCs w:val="false"/>
                <w:color w:val="000000"/>
                <w:sz w:val="18"/>
                <w:szCs w:val="18"/>
              </w:rPr>
              <w:t xml:space="preserve">$399,900 (single-family, median sale price; down 1.5% YoY)</w:t>
            </w:r>
          </w:p>
        </w:tc>
        <w:tc>
          <w:tcPr>
            <w:tcW w:type="dxa" w:w="900"/>
            <w:tcMar>
              <w:top w:type="dxa" w:w="70"/>
              <w:left w:type="dxa" w:w="90"/>
              <w:bottom w:type="dxa" w:w="70"/>
              <w:right w:type="dxa" w:w="90"/>
            </w:tcMar>
          </w:tcPr>
          <w:p>
            <w:r>
              <w:rPr>
                <w:rFonts w:ascii="Calibri" w:cs="Calibri" w:eastAsia="Calibri" w:hAnsi="Calibri"/>
                <w:b w:val="false"/>
                <w:bCs w:val="false"/>
                <w:color w:val="000000"/>
                <w:sz w:val="18"/>
                <w:szCs w:val="18"/>
              </w:rPr>
              <w:t xml:space="preserve">MSA</w:t>
            </w:r>
          </w:p>
        </w:tc>
        <w:tc>
          <w:tcPr>
            <w:tcW w:type="dxa" w:w="1000"/>
            <w:tcMar>
              <w:top w:type="dxa" w:w="70"/>
              <w:left w:type="dxa" w:w="90"/>
              <w:bottom w:type="dxa" w:w="70"/>
              <w:right w:type="dxa" w:w="90"/>
            </w:tcMar>
          </w:tcPr>
          <w:p>
            <w:r>
              <w:rPr>
                <w:rFonts w:ascii="Calibri" w:cs="Calibri" w:eastAsia="Calibri" w:hAnsi="Calibri"/>
                <w:b w:val="false"/>
                <w:bCs w:val="false"/>
                <w:color w:val="000000"/>
                <w:sz w:val="18"/>
                <w:szCs w:val="18"/>
              </w:rPr>
              <w:t xml:space="preserve">Nov 2025</w:t>
            </w:r>
          </w:p>
        </w:tc>
        <w:tc>
          <w:tcPr>
            <w:tcW w:type="dxa" w:w="2460"/>
            <w:tcMar>
              <w:top w:type="dxa" w:w="70"/>
              <w:left w:type="dxa" w:w="90"/>
              <w:bottom w:type="dxa" w:w="70"/>
              <w:right w:type="dxa" w:w="90"/>
            </w:tcMar>
          </w:tcPr>
          <w:p>
            <w:r>
              <w:rPr>
                <w:rFonts w:ascii="Calibri" w:cs="Calibri" w:eastAsia="Calibri" w:hAnsi="Calibri"/>
                <w:b w:val="false"/>
                <w:bCs w:val="false"/>
                <w:color w:val="000000"/>
                <w:sz w:val="18"/>
                <w:szCs w:val="18"/>
              </w:rPr>
              <w:t xml:space="preserve">Florida Realtors / Stellar MLS</w:t>
            </w:r>
          </w:p>
        </w:tc>
      </w:tr>
      <w:tr>
        <w:tc>
          <w:tcPr>
            <w:tcW w:type="dxa" w:w="2100"/>
            <w:tcMar>
              <w:top w:type="dxa" w:w="70"/>
              <w:left w:type="dxa" w:w="90"/>
              <w:bottom w:type="dxa" w:w="70"/>
              <w:right w:type="dxa" w:w="90"/>
            </w:tcMar>
          </w:tcPr>
          <w:p>
            <w:r>
              <w:rPr>
                <w:rFonts w:ascii="Calibri" w:cs="Calibri" w:eastAsia="Calibri" w:hAnsi="Calibri"/>
                <w:b w:val="false"/>
                <w:bCs w:val="false"/>
                <w:color w:val="000000"/>
                <w:sz w:val="18"/>
                <w:szCs w:val="18"/>
              </w:rPr>
              <w:t xml:space="preserve">Foreclosure rate</w:t>
            </w:r>
          </w:p>
        </w:tc>
        <w:tc>
          <w:tcPr>
            <w:tcW w:type="dxa" w:w="2900"/>
            <w:tcMar>
              <w:top w:type="dxa" w:w="70"/>
              <w:left w:type="dxa" w:w="90"/>
              <w:bottom w:type="dxa" w:w="70"/>
              <w:right w:type="dxa" w:w="90"/>
            </w:tcMar>
          </w:tcPr>
          <w:p>
            <w:r>
              <w:rPr>
                <w:rFonts w:ascii="Calibri" w:cs="Calibri" w:eastAsia="Calibri" w:hAnsi="Calibri"/>
                <w:b w:val="false"/>
                <w:bCs w:val="false"/>
                <w:color w:val="000000"/>
                <w:sz w:val="18"/>
                <w:szCs w:val="18"/>
              </w:rPr>
              <w:t xml:space="preserve">1 in 1,373 housing units with a filing, highest among large U.S. metros (see note)</w:t>
            </w:r>
          </w:p>
        </w:tc>
        <w:tc>
          <w:tcPr>
            <w:tcW w:type="dxa" w:w="900"/>
            <w:tcMar>
              <w:top w:type="dxa" w:w="70"/>
              <w:left w:type="dxa" w:w="90"/>
              <w:bottom w:type="dxa" w:w="70"/>
              <w:right w:type="dxa" w:w="90"/>
            </w:tcMar>
          </w:tcPr>
          <w:p>
            <w:r>
              <w:rPr>
                <w:rFonts w:ascii="Calibri" w:cs="Calibri" w:eastAsia="Calibri" w:hAnsi="Calibri"/>
                <w:b w:val="false"/>
                <w:bCs w:val="false"/>
                <w:color w:val="000000"/>
                <w:sz w:val="18"/>
                <w:szCs w:val="18"/>
              </w:rPr>
              <w:t xml:space="preserve">MSA</w:t>
            </w:r>
          </w:p>
        </w:tc>
        <w:tc>
          <w:tcPr>
            <w:tcW w:type="dxa" w:w="1000"/>
            <w:tcMar>
              <w:top w:type="dxa" w:w="70"/>
              <w:left w:type="dxa" w:w="90"/>
              <w:bottom w:type="dxa" w:w="70"/>
              <w:right w:type="dxa" w:w="90"/>
            </w:tcMar>
          </w:tcPr>
          <w:p>
            <w:r>
              <w:rPr>
                <w:rFonts w:ascii="Calibri" w:cs="Calibri" w:eastAsia="Calibri" w:hAnsi="Calibri"/>
                <w:b w:val="false"/>
                <w:bCs w:val="false"/>
                <w:color w:val="000000"/>
                <w:sz w:val="18"/>
                <w:szCs w:val="18"/>
              </w:rPr>
              <w:t xml:space="preserve">Oct 2025</w:t>
            </w:r>
          </w:p>
        </w:tc>
        <w:tc>
          <w:tcPr>
            <w:tcW w:type="dxa" w:w="2460"/>
            <w:tcMar>
              <w:top w:type="dxa" w:w="70"/>
              <w:left w:type="dxa" w:w="90"/>
              <w:bottom w:type="dxa" w:w="70"/>
              <w:right w:type="dxa" w:w="90"/>
            </w:tcMar>
          </w:tcPr>
          <w:p>
            <w:r>
              <w:rPr>
                <w:rFonts w:ascii="Calibri" w:cs="Calibri" w:eastAsia="Calibri" w:hAnsi="Calibri"/>
                <w:b w:val="false"/>
                <w:bCs w:val="false"/>
                <w:color w:val="000000"/>
                <w:sz w:val="18"/>
                <w:szCs w:val="18"/>
              </w:rPr>
              <w:t xml:space="preserve">ATTOM</w:t>
            </w:r>
          </w:p>
        </w:tc>
      </w:tr>
      <w:tr>
        <w:tc>
          <w:tcPr>
            <w:tcW w:type="dxa" w:w="2100"/>
            <w:tcMar>
              <w:top w:type="dxa" w:w="70"/>
              <w:left w:type="dxa" w:w="90"/>
              <w:bottom w:type="dxa" w:w="70"/>
              <w:right w:type="dxa" w:w="90"/>
            </w:tcMar>
          </w:tcPr>
          <w:p>
            <w:r>
              <w:rPr>
                <w:rFonts w:ascii="Calibri" w:cs="Calibri" w:eastAsia="Calibri" w:hAnsi="Calibri"/>
                <w:b w:val="false"/>
                <w:bCs w:val="false"/>
                <w:color w:val="000000"/>
                <w:sz w:val="18"/>
                <w:szCs w:val="18"/>
              </w:rPr>
              <w:t xml:space="preserve">New-construction permits</w:t>
            </w:r>
          </w:p>
        </w:tc>
        <w:tc>
          <w:tcPr>
            <w:tcW w:type="dxa" w:w="2900"/>
            <w:tcMar>
              <w:top w:type="dxa" w:w="70"/>
              <w:left w:type="dxa" w:w="90"/>
              <w:bottom w:type="dxa" w:w="70"/>
              <w:right w:type="dxa" w:w="90"/>
            </w:tcMar>
          </w:tcPr>
          <w:p>
            <w:r>
              <w:rPr>
                <w:rFonts w:ascii="Calibri" w:cs="Calibri" w:eastAsia="Calibri" w:hAnsi="Calibri"/>
                <w:b w:val="false"/>
                <w:bCs w:val="false"/>
                <w:color w:val="000000"/>
                <w:sz w:val="18"/>
                <w:szCs w:val="18"/>
              </w:rPr>
              <w:t xml:space="preserve">About 1,634 new private housing units authorized, down 9.3% YoY</w:t>
            </w:r>
          </w:p>
        </w:tc>
        <w:tc>
          <w:tcPr>
            <w:tcW w:type="dxa" w:w="900"/>
            <w:tcMar>
              <w:top w:type="dxa" w:w="70"/>
              <w:left w:type="dxa" w:w="90"/>
              <w:bottom w:type="dxa" w:w="70"/>
              <w:right w:type="dxa" w:w="90"/>
            </w:tcMar>
          </w:tcPr>
          <w:p>
            <w:r>
              <w:rPr>
                <w:rFonts w:ascii="Calibri" w:cs="Calibri" w:eastAsia="Calibri" w:hAnsi="Calibri"/>
                <w:b w:val="false"/>
                <w:bCs w:val="false"/>
                <w:color w:val="000000"/>
                <w:sz w:val="18"/>
                <w:szCs w:val="18"/>
              </w:rPr>
              <w:t xml:space="preserve">MSA</w:t>
            </w:r>
          </w:p>
        </w:tc>
        <w:tc>
          <w:tcPr>
            <w:tcW w:type="dxa" w:w="1000"/>
            <w:tcMar>
              <w:top w:type="dxa" w:w="70"/>
              <w:left w:type="dxa" w:w="90"/>
              <w:bottom w:type="dxa" w:w="70"/>
              <w:right w:type="dxa" w:w="90"/>
            </w:tcMar>
          </w:tcPr>
          <w:p>
            <w:r>
              <w:rPr>
                <w:rFonts w:ascii="Calibri" w:cs="Calibri" w:eastAsia="Calibri" w:hAnsi="Calibri"/>
                <w:b w:val="false"/>
                <w:bCs w:val="false"/>
                <w:color w:val="000000"/>
                <w:sz w:val="18"/>
                <w:szCs w:val="18"/>
              </w:rPr>
              <w:t xml:space="preserve">Apr 2026</w:t>
            </w:r>
          </w:p>
        </w:tc>
        <w:tc>
          <w:tcPr>
            <w:tcW w:type="dxa" w:w="2460"/>
            <w:tcMar>
              <w:top w:type="dxa" w:w="70"/>
              <w:left w:type="dxa" w:w="90"/>
              <w:bottom w:type="dxa" w:w="70"/>
              <w:right w:type="dxa" w:w="90"/>
            </w:tcMar>
          </w:tcPr>
          <w:p>
            <w:r>
              <w:rPr>
                <w:rFonts w:ascii="Calibri" w:cs="Calibri" w:eastAsia="Calibri" w:hAnsi="Calibri"/>
                <w:b w:val="false"/>
                <w:bCs w:val="false"/>
                <w:color w:val="000000"/>
                <w:sz w:val="18"/>
                <w:szCs w:val="18"/>
              </w:rPr>
              <w:t xml:space="preserve">U.S. Census BPS (FRED TAMP312BPPRIV)</w:t>
            </w:r>
          </w:p>
        </w:tc>
      </w:tr>
    </w:tbl>
    <w:p>
      <w:pPr>
        <w:spacing w:after="60"/>
      </w:pPr>
      <w:r>
        <w:rPr>
          <w:sz w:val="2"/>
          <w:szCs w:val="2"/>
        </w:rPr>
        <w:t xml:space="preserve"/>
      </w:r>
    </w:p>
    <w:p>
      <w:pPr>
        <w:spacing w:after="60" w:before="80"/>
      </w:pPr>
      <w:r>
        <w:rPr>
          <w:rFonts w:ascii="Calibri" w:cs="Calibri" w:eastAsia="Calibri" w:hAnsi="Calibri"/>
          <w:b/>
          <w:bCs/>
          <w:color w:val="595959"/>
          <w:sz w:val="16"/>
          <w:szCs w:val="16"/>
        </w:rPr>
        <w:t xml:space="preserve">Sources and notes</w:t>
      </w:r>
    </w:p>
    <w:p>
      <w:pPr>
        <w:spacing w:after="70" w:line="240"/>
      </w:pPr>
      <w:r>
        <w:rPr>
          <w:rFonts w:ascii="Calibri" w:cs="Calibri" w:eastAsia="Calibri" w:hAnsi="Calibri"/>
          <w:color w:val="595959"/>
          <w:sz w:val="16"/>
          <w:szCs w:val="16"/>
        </w:rPr>
        <w:t xml:space="preserve">Counties covered: Pinellas, Hillsborough, Pasco, Hernando. All figures are the most recent available at the time of preparation (July 2026); no figures were estimated.</w:t>
      </w:r>
    </w:p>
    <w:p>
      <w:pPr>
        <w:spacing w:after="70" w:line="240"/>
      </w:pPr>
      <w:r>
        <w:rPr>
          <w:rFonts w:ascii="Calibri" w:cs="Calibri" w:eastAsia="Calibri" w:hAnsi="Calibri"/>
          <w:color w:val="595959"/>
          <w:sz w:val="16"/>
          <w:szCs w:val="16"/>
        </w:rPr>
        <w:t xml:space="preserve">Median price and months of inventory: Florida Realtors monthly market data, Tampa-St. Petersburg-Clearwater MSA, single-family existing homes, November 2025.</w:t>
      </w:r>
    </w:p>
    <w:p>
      <w:pPr>
        <w:spacing w:after="70" w:line="240"/>
      </w:pPr>
      <w:r>
        <w:rPr>
          <w:rFonts w:ascii="Calibri" w:cs="Calibri" w:eastAsia="Calibri" w:hAnsi="Calibri"/>
          <w:color w:val="595959"/>
          <w:sz w:val="16"/>
          <w:szCs w:val="16"/>
        </w:rPr>
        <w:t xml:space="preserve">Foreclosure rate: ATTOM October 2025 metro foreclosure report. The Tampa MSA rate was elevated by the resumption of court filings in Hillsborough County. November 2025 filings totaled 632 across the MSA (Hillsborough 321, Pinellas 157, Pasco 118, Hernando 36).</w:t>
      </w:r>
    </w:p>
    <w:p>
      <w:pPr>
        <w:spacing w:after="70" w:line="240"/>
      </w:pPr>
      <w:r>
        <w:rPr>
          <w:rFonts w:ascii="Calibri" w:cs="Calibri" w:eastAsia="Calibri" w:hAnsi="Calibri"/>
          <w:color w:val="595959"/>
          <w:sz w:val="16"/>
          <w:szCs w:val="16"/>
        </w:rPr>
        <w:t xml:space="preserve">New-construction permits: U.S. Census Bureau Building Permits Survey, new private housing units authorized, Tampa-St. Petersburg-Clearwater MSA, April 2026.</w:t>
      </w:r>
    </w:p>
    <w:p>
      <w:pPr>
        <w:spacing w:after="70" w:line="240"/>
      </w:pPr>
      <w:r>
        <w:rPr>
          <w:rFonts w:ascii="Calibri" w:cs="Calibri" w:eastAsia="Calibri" w:hAnsi="Calibri"/>
          <w:color w:val="595959"/>
          <w:sz w:val="16"/>
          <w:szCs w:val="16"/>
        </w:rPr>
        <w:t xml:space="preserve">Annual home sales: A consolidated full-year 2025 MSA transaction total was not publicly available at preparation. Statewide, Florida recorded 255,012 single-family closed sales in 2025 (Florida Realtors). The figure shown is the latest monthly MSA closed-sales count.</w:t>
      </w:r>
    </w:p>
    <w:p>
      <w:pPr>
        <w:spacing w:after="70" w:line="240"/>
      </w:pPr>
      <w:r>
        <w:rPr>
          <w:rFonts w:ascii="Calibri" w:cs="Calibri" w:eastAsia="Calibri" w:hAnsi="Calibri"/>
          <w:color w:val="595959"/>
          <w:sz w:val="16"/>
          <w:szCs w:val="16"/>
        </w:rPr>
        <w:t xml:space="preserve">Purchase-loan originations: 2024 HMDA data exist at MSA level through the CFPB/FFIEC data browser but could not be retrieved during preparation and are shown as data not available rather than estimated.</w:t>
      </w:r>
    </w:p>
    <w:p>
      <w:pPr>
        <w:spacing w:after="90" w:before="260"/>
      </w:pPr>
      <w:r>
        <w:rPr>
          <w:rFonts w:ascii="Calibri" w:cs="Calibri" w:eastAsia="Calibri" w:hAnsi="Calibri"/>
          <w:b/>
          <w:bCs/>
          <w:color w:val="1F3864"/>
          <w:sz w:val="24"/>
          <w:szCs w:val="24"/>
        </w:rPr>
        <w:t xml:space="preserve">The Economics</w:t>
      </w:r>
    </w:p>
    <w:p>
      <w:pPr>
        <w:spacing w:after="140" w:line="276"/>
        <w:jc w:val="both"/>
      </w:pPr>
      <w:r>
        <w:rPr>
          <w:rFonts w:ascii="Calibri" w:cs="Calibri" w:eastAsia="Calibri" w:hAnsi="Calibri"/>
          <w:sz w:val="22"/>
          <w:szCs w:val="22"/>
        </w:rPr>
        <w:t xml:space="preserve">Revenue tracks closings. Closings track the partner's volume plus what the two seats bring in from outside. Costs are a desk, two salaries, and our existing back office absorbing the files. The back office is already built and already paid for. Every Banyan Tree file that runs through it is margin on infrastructure we own. Ownership and the split are still open. That is a negotiation, not a blocker.</w:t>
      </w:r>
    </w:p>
    <w:p>
      <w:pPr>
        <w:spacing w:after="90" w:before="260"/>
      </w:pPr>
      <w:r>
        <w:rPr>
          <w:rFonts w:ascii="Calibri" w:cs="Calibri" w:eastAsia="Calibri" w:hAnsi="Calibri"/>
          <w:b/>
          <w:bCs/>
          <w:color w:val="1F3864"/>
          <w:sz w:val="24"/>
          <w:szCs w:val="24"/>
        </w:rPr>
        <w:t xml:space="preserve">What ARES Actually Risks</w:t>
      </w:r>
    </w:p>
    <w:p>
      <w:pPr>
        <w:spacing w:after="140" w:line="276"/>
        <w:jc w:val="both"/>
      </w:pPr>
      <w:r>
        <w:rPr>
          <w:rFonts w:ascii="Calibri" w:cs="Calibri" w:eastAsia="Calibri" w:hAnsi="Calibri"/>
          <w:sz w:val="22"/>
          <w:szCs w:val="22"/>
        </w:rPr>
        <w:t xml:space="preserve">Small money and a name on a door. Legal and licensing, marketing, a lease we sublease back, working capital. The upside is a repeatable JV structure that turns brokerages into distribution. Compliance is a requirement, not a risk. FDFS, RESPA, Gramm-Leach-Bliley. ALTA Best Practices as the operating standard, not a poster on the wall.</w:t>
      </w:r>
    </w:p>
    <w:p>
      <w:pPr>
        <w:spacing w:after="90" w:before="260"/>
      </w:pPr>
      <w:r>
        <w:rPr>
          <w:rFonts w:ascii="Calibri" w:cs="Calibri" w:eastAsia="Calibri" w:hAnsi="Calibri"/>
          <w:b/>
          <w:bCs/>
          <w:color w:val="1F3864"/>
          <w:sz w:val="24"/>
          <w:szCs w:val="24"/>
        </w:rPr>
        <w:t xml:space="preserve">The Decision</w:t>
      </w:r>
    </w:p>
    <w:p>
      <w:pPr>
        <w:spacing w:after="140" w:line="276"/>
        <w:jc w:val="both"/>
      </w:pPr>
      <w:r>
        <w:rPr>
          <w:rFonts w:ascii="Calibri" w:cs="Calibri" w:eastAsia="Calibri" w:hAnsi="Calibri"/>
          <w:sz w:val="22"/>
          <w:szCs w:val="22"/>
        </w:rPr>
        <w:t xml:space="preserve">Banyan Tree is live and small on purpose. Do we treat it as a one-off favor to one brokerage, or as the first unit of a program. If it is a program, the next move is to lock the structure as a template, pull the market data, and line up the next two brokerage targets while this one seasons. If it is a one-off, we say so now. You hired me on reputation, sight unseen, because I have built this before. I am telling you it works and it scales. I need a call, not a maybe.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Banyan Tree Title Deployment Memo</dc:title>
  <dc:creator>ARES</dc:creator>
  <cp:lastModifiedBy>Un-named</cp:lastModifiedBy>
  <cp:revision>1</cp:revision>
  <dcterms:created xsi:type="dcterms:W3CDTF">2026-07-06T13:50:38.386Z</dcterms:created>
  <dcterms:modified xsi:type="dcterms:W3CDTF">2026-07-06T13:50:38.386Z</dcterms:modified>
</cp:coreProperties>
</file>

<file path=docProps/custom.xml><?xml version="1.0" encoding="utf-8"?>
<Properties xmlns="http://schemas.openxmlformats.org/officeDocument/2006/custom-properties" xmlns:vt="http://schemas.openxmlformats.org/officeDocument/2006/docPropsVTypes"/>
</file>