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00" w:after="60"/>
        <w:jc w:val="center"/>
      </w:pPr>
      <w:r>
        <w:t>Prediction Intervals</w:t>
      </w:r>
    </w:p>
    <w:p>
      <w:pPr>
        <w:spacing w:after="240"/>
        <w:jc w:val="center"/>
      </w:pPr>
      <w:r>
        <w:rPr>
          <w:rFonts w:ascii="Aptos" w:hAnsi="Aptos" w:eastAsia="Aptos"/>
          <w:b/>
          <w:color w:val="414141"/>
          <w:sz w:val="25"/>
        </w:rPr>
        <w:t>Problem Set 2  Questions 2.14 to 2.20</w:t>
      </w:r>
    </w:p>
    <w:p>
      <w:pPr>
        <w:spacing w:after="140" w:line="259" w:lineRule="auto"/>
      </w:pPr>
      <w:r>
        <w:t xml:space="preserve">All returns are monthly excess returns in decimals, and all answers condition on a next-month market return of </w:t>
      </w:r>
      <m:oMath>
        <m:sSub>
          <m:e>
            <m:r>
              <m:t xml:space="preserve">x</m:t>
            </m:r>
          </m:e>
          <m:sub>
            <m:r>
              <m:rPr>
                <m:sty m:val="p"/>
              </m:rPr>
              <m:t xml:space="preserve">new</m:t>
            </m:r>
          </m:sub>
        </m:sSub>
        <m:r>
          <m:rPr>
            <m:sty m:val="p"/>
          </m:rPr>
          <m:t xml:space="preserve"> = 0.03</m:t>
        </m:r>
      </m:oMath>
      <w:r>
        <w:t xml:space="preserve">. The sample has </w:t>
      </w:r>
      <m:oMath>
        <m:r>
          <m:t xml:space="preserve">n</m:t>
        </m:r>
        <m:r>
          <m:rPr>
            <m:sty m:val="p"/>
          </m:rPr>
          <m:t xml:space="preserve"> = 408</m:t>
        </m:r>
      </m:oMath>
      <w:r>
        <w:t xml:space="preserve"> months, with </w:t>
      </w:r>
      <m:oMath>
        <m:bar>
          <m:barPr>
            <m:pos m:val="top"/>
          </m:barPr>
          <m:e>
            <m:r>
              <m:t xml:space="preserve">x</m:t>
            </m:r>
          </m:e>
        </m:bar>
        <m:r>
          <m:rPr>
            <m:sty m:val="p"/>
          </m:rPr>
          <m:t xml:space="preserve"> = 0.006906729</m:t>
        </m:r>
      </m:oMath>
      <w:r>
        <w:t xml:space="preserve"> and </w:t>
      </w:r>
      <m:oMath>
        <m:sSub>
          <m:e>
            <m:r>
              <m:t xml:space="preserve">S</m:t>
            </m:r>
          </m:e>
          <m:sub>
            <m:r>
              <m:t xml:space="preserve">xx</m:t>
            </m:r>
          </m:sub>
        </m:sSub>
        <m:r>
          <m:rPr>
            <m:sty m:val="p"/>
          </m:rPr>
          <m:t xml:space="preserve"> = </m:t>
        </m:r>
        <m:r>
          <m:rPr>
            <m:sty m:val="p"/>
          </m:rPr>
          <m:t xml:space="preserve">Σ</m:t>
        </m:r>
        <m:sSup>
          <m:e>
            <m:r>
              <m:rPr>
                <m:sty m:val="p"/>
              </m:rPr>
              <m:t xml:space="preserve">(</m:t>
            </m:r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 − </m:t>
            </m:r>
            <m:bar>
              <m:barPr>
                <m:pos m:val="top"/>
              </m:barPr>
              <m:e>
                <m:r>
                  <m:t xml:space="preserve">x</m:t>
                </m:r>
              </m:e>
            </m:bar>
            <m:r>
              <m:rPr>
                <m:sty m:val="p"/>
              </m:rPr>
              <m:t xml:space="preserve">)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 = 0.8280615</m:t>
        </m:r>
      </m:oMath>
      <w:r>
        <w:t xml:space="preserve">. The OLS inputs below come from 2.1–2.3; all subsequent calculations are manual.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41"/>
        <w:gridCol w:w="2441"/>
        <w:gridCol w:w="2441"/>
        <w:gridCol w:w="2441"/>
      </w:tblGrid>
      <w:tr>
        <w:tc>
          <w:tcPr>
            <w:tcW w:type="dxa" w:w="194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2232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α̂</w:t>
            </w:r>
          </w:p>
        </w:tc>
        <w:tc>
          <w:tcPr>
            <w:tcW w:type="dxa" w:w="2088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β̂</w:t>
            </w:r>
          </w:p>
        </w:tc>
        <w:tc>
          <w:tcPr>
            <w:tcW w:type="dxa" w:w="3096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σ̂² (residual variance)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Low Risk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0.005727</w:t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−0.628556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0.0011555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Profitability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0.004622</w:t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−0.203932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0.0006039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Size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−0.000296</w:t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0.136456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0.0004962</w:t>
            </w:r>
          </w:p>
        </w:tc>
      </w:tr>
    </w:tbl>
    <w:p>
      <w:pPr>
        <w:spacing w:after="60"/>
      </w:pPr>
    </w:p>
    <w:p>
      <w:pPr>
        <w:pStyle w:val="Heading1"/>
        <w:keepNext/>
        <w:pageBreakBefore w:val="0"/>
        <w:spacing w:before="240" w:after="100"/>
      </w:pPr>
      <w:r>
        <w:t>Question 2.14 Expected Low Risk Return</w:t>
      </w:r>
    </w:p>
    <w:p>
      <w:pPr>
        <w:spacing w:after="140" w:line="259" w:lineRule="auto"/>
      </w:pPr>
      <w:r>
        <w:t xml:space="preserve">The predicted return is the fitted regression line evaluated at the market forecast:</w:t>
      </w:r>
    </w:p>
    <w:p>
      <w:pPr>
        <w:keepLines/>
        <w:spacing w:before="80" w:after="140"/>
        <w:jc w:val="center"/>
      </w:pPr>
      <m:oMathPara>
        <m:oMath>
          <m:sSub>
            <m:e>
              <m:acc>
                <m:accPr>
                  <m:chr m:val="̂"/>
                </m:accPr>
                <m:e>
                  <m:r>
                    <m:t xml:space="preserve">r</m:t>
                  </m:r>
                </m:e>
              </m:acc>
            </m:e>
            <m:sub>
              <m:r>
                <m:rPr>
                  <m:sty m:val="p"/>
                </m:rPr>
                <m:t xml:space="preserve">LR</m:t>
              </m:r>
            </m:sub>
          </m:sSub>
          <m:r>
            <m:rPr>
              <m:sty m:val="p"/>
            </m:rPr>
            <m:t xml:space="preserve"> = </m:t>
          </m:r>
          <m:sSub>
            <m:e>
              <m:acc>
                <m:accPr>
                  <m:chr m:val="̂"/>
                </m:accPr>
                <m:e>
                  <m:r>
                    <m:t xml:space="preserve">α</m:t>
                  </m:r>
                </m:e>
              </m:acc>
            </m:e>
            <m:sub>
              <m:r>
                <m:rPr>
                  <m:sty m:val="p"/>
                </m:rPr>
                <m:t xml:space="preserve">LR</m:t>
              </m:r>
            </m:sub>
          </m:sSub>
          <m:r>
            <m:rPr>
              <m:sty m:val="p"/>
            </m:rPr>
            <m:t xml:space="preserve"> + </m:t>
          </m:r>
          <m:sSub>
            <m:e>
              <m:acc>
                <m:accPr>
                  <m:chr m:val="̂"/>
                </m:accPr>
                <m:e>
                  <m:r>
                    <m:t xml:space="preserve">β</m:t>
                  </m:r>
                </m:e>
              </m:acc>
            </m:e>
            <m:sub>
              <m:r>
                <m:rPr>
                  <m:sty m:val="p"/>
                </m:rPr>
                <m:t xml:space="preserve">LR</m:t>
              </m:r>
            </m:sub>
          </m:sSub>
          <m:sSub>
            <m:e>
              <m:r>
                <m:t xml:space="preserve">x</m:t>
              </m:r>
            </m:e>
            <m:sub>
              <m:r>
                <m:rPr>
                  <m:sty m:val="p"/>
                </m:rPr>
                <m:t xml:space="preserve">new</m:t>
              </m:r>
            </m:sub>
          </m:sSub>
          <m:r>
            <m:rPr>
              <m:sty m:val="p"/>
            </m:rPr>
            <m:t xml:space="preserve"> = 0.005727 − 0.628556 × 0.03 = −0.01313</m:t>
          </m:r>
        </m:oMath>
      </m:oMathPara>
    </w:p>
    <w:p>
      <w:pPr>
        <w:spacing w:after="140" w:line="259" w:lineRule="auto"/>
      </w:pPr>
      <w:r>
        <w:t xml:space="preserve">The expected Low Risk return is </w:t>
      </w:r>
      <w:r>
        <w:rPr>
          <w:b/>
        </w:rPr>
        <w:t xml:space="preserve">−1.313%</w:t>
      </w:r>
      <w:r>
        <w:t xml:space="preserve">. The factor is long low-beta and short high-beta stocks, so its beta is negative and a strong market month predicts a loss.</w:t>
      </w:r>
    </w:p>
    <w:p>
      <w:pPr>
        <w:pStyle w:val="Heading1"/>
        <w:keepNext/>
        <w:pageBreakBefore w:val="0"/>
        <w:spacing w:before="240" w:after="100"/>
      </w:pPr>
      <w:r>
        <w:t>Question 2.15 Estimation Error Variance</w:t>
      </w:r>
    </w:p>
    <w:p>
      <w:pPr>
        <w:spacing w:after="140" w:line="259" w:lineRule="auto"/>
      </w:pPr>
      <w:r>
        <w:t xml:space="preserve">The estimation error variance captures uncertainty in the fitted conditional mean from estimating α and β:</w:t>
      </w:r>
    </w:p>
    <w:p>
      <w:pPr>
        <w:keepLines/>
        <w:spacing w:before="80" w:after="140"/>
        <w:jc w:val="center"/>
      </w:pPr>
      <m:oMathPara>
        <m:oMath>
          <m:r>
            <m:rPr>
              <m:sty m:val="p"/>
            </m:rPr>
            <m:t xml:space="preserve">Var</m:t>
          </m:r>
          <m:r>
            <m:rPr>
              <m:sty m:val="p"/>
            </m:rPr>
            <m:t xml:space="preserve">(</m:t>
          </m:r>
          <m:acc>
            <m:accPr>
              <m:chr m:val="̂"/>
            </m:accPr>
            <m:e>
              <m:r>
                <m:t xml:space="preserve">α</m:t>
              </m:r>
            </m:e>
          </m:acc>
          <m:r>
            <m:rPr>
              <m:sty m:val="p"/>
            </m:rPr>
            <m:t xml:space="preserve"> + </m:t>
          </m:r>
          <m:acc>
            <m:accPr>
              <m:chr m:val="̂"/>
            </m:accPr>
            <m:e>
              <m:r>
                <m:t xml:space="preserve">β</m:t>
              </m:r>
            </m:e>
          </m:acc>
          <m:sSub>
            <m:e>
              <m:r>
                <m:t xml:space="preserve">x</m:t>
              </m:r>
            </m:e>
            <m:sub>
              <m:r>
                <m:rPr>
                  <m:sty m:val="p"/>
                </m:rPr>
                <m:t xml:space="preserve">new</m:t>
              </m:r>
            </m:sub>
          </m:sSub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 = </m:t>
          </m:r>
          <m:sSup>
            <m:e>
              <m:acc>
                <m:accPr>
                  <m:chr m:val="̂"/>
                </m:accPr>
                <m:e>
                  <m:r>
                    <m:t xml:space="preserve">σ</m:t>
                  </m:r>
                </m:e>
              </m:acc>
            </m:e>
            <m:sup>
              <m:r>
                <m:rPr>
                  <m:sty m:val="p"/>
                </m:rPr>
                <m:t xml:space="preserve">2</m:t>
              </m:r>
            </m:sup>
          </m:sSup>
          <m:d>
            <m:dPr>
              <m:begChr m:val="["/>
              <m:endChr m:val="]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t xml:space="preserve">n</m:t>
                  </m:r>
                </m:den>
              </m:f>
              <m:r>
                <m:rPr>
                  <m:sty m:val="p"/>
                </m:rPr>
                <m:t xml:space="preserve"> + </m:t>
              </m:r>
              <m:f>
                <m:num>
                  <m:sSup>
                    <m:e>
                      <m:r>
                        <m:rPr>
                          <m:sty m:val="p"/>
                        </m:rPr>
                        <m:t xml:space="preserve">(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 xml:space="preserve">new</m:t>
                          </m:r>
                        </m:sub>
                      </m:sSub>
                      <m:r>
                        <m:rPr>
                          <m:sty m:val="p"/>
                        </m:rPr>
                        <m:t xml:space="preserve"> − </m:t>
                      </m:r>
                      <m:bar>
                        <m:barPr>
                          <m:pos m:val="top"/>
                        </m:barPr>
                        <m:e>
                          <m:r>
                            <m:t xml:space="preserve">x</m:t>
                          </m:r>
                        </m:e>
                      </m:bar>
                      <m:r>
                        <m:rPr>
                          <m:sty m:val="p"/>
                        </m:rPr>
                        <m:t xml:space="preserve">)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num>
                <m:den>
                  <m:sSub>
                    <m:e>
                      <m:r>
                        <m:t xml:space="preserve">S</m:t>
                      </m:r>
                    </m:e>
                    <m:sub>
                      <m:r>
                        <m:t xml:space="preserve">xx</m:t>
                      </m:r>
                    </m:sub>
                  </m:sSub>
                </m:den>
              </m:f>
            </m:e>
          </m:d>
        </m:oMath>
      </m:oMathPara>
    </w:p>
    <w:p>
      <w:pPr>
        <w:keepLines/>
        <w:spacing w:before="80" w:after="140"/>
        <w:jc w:val="center"/>
      </w:pPr>
      <m:oMathPara>
        <m:oMath>
          <m:r>
            <m:rPr>
              <m:sty m:val="p"/>
            </m:rPr>
            <m:t xml:space="preserve">= 0.0011555</m:t>
          </m:r>
          <m:d>
            <m:dPr>
              <m:begChr m:val="["/>
              <m:endChr m:val="]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408</m:t>
                  </m:r>
                </m:den>
              </m:f>
              <m:r>
                <m:rPr>
                  <m:sty m:val="p"/>
                </m:rPr>
                <m:t xml:space="preserve"> + </m:t>
              </m:r>
              <m:f>
                <m:num>
                  <m:sSup>
                    <m:e>
                      <m:r>
                        <m:rPr>
                          <m:sty m:val="p"/>
                        </m:rPr>
                        <m:t xml:space="preserve">(0.03 − 0.006907)</m:t>
                      </m:r>
                    </m:e>
                    <m:sup>
                      <m:r>
                        <m:rPr>
                          <m:sty m:val="p"/>
                        </m:rPr>
                        <m:t xml:space="preserve"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 xml:space="preserve">0.82806</m:t>
                  </m:r>
                </m:den>
              </m:f>
            </m:e>
          </m:d>
          <m:r>
            <m:rPr>
              <m:sty m:val="p"/>
            </m:rPr>
            <m:t xml:space="preserve"> = </m:t>
          </m:r>
          <m:r>
            <m:rPr>
              <m:sty m:val="p"/>
            </m:rPr>
            <m:t xml:space="preserve">3.576 × </m:t>
          </m:r>
          <m:sSup>
            <m:e>
              <m:r>
                <m:rPr>
                  <m:sty m:val="p"/>
                </m:rPr>
                <m:t xml:space="preserve">10</m:t>
              </m:r>
            </m:e>
            <m:sup>
              <m:r>
                <m:rPr>
                  <m:sty m:val="p"/>
                </m:rPr>
                <m:t xml:space="preserve">−6</m:t>
              </m:r>
            </m:sup>
          </m:sSup>
        </m:oMath>
      </m:oMathPara>
    </w:p>
    <w:p>
      <w:pPr>
        <w:spacing w:after="140" w:line="259" w:lineRule="auto"/>
      </w:pPr>
      <w:r>
        <w:t>Its square root, 0.189%, is the standard error of the expected return. The standard error is small because the sample is large and the leverage term is limited.</w:t>
      </w:r>
    </w:p>
    <w:p>
      <w:pPr>
        <w:pStyle w:val="Heading1"/>
        <w:keepNext/>
        <w:pageBreakBefore w:val="0"/>
        <w:spacing w:before="240" w:after="100"/>
      </w:pPr>
      <w:r>
        <w:t>Question 2.16 Low Risk Prediction Standard Error</w:t>
      </w:r>
    </w:p>
    <w:p>
      <w:pPr>
        <w:spacing w:after="140" w:line="259" w:lineRule="auto"/>
      </w:pPr>
      <w:r>
        <w:t xml:space="preserve">A single future return also contains the new error term, so the prediction variance adds </w:t>
      </w:r>
      <m:oMath>
        <m:sSup>
          <m:e>
            <m:acc>
              <m:accPr>
                <m:chr m:val="̂"/>
              </m:accPr>
              <m:e>
                <m:r>
                  <m:t xml:space="preserve">σ</m:t>
                </m:r>
              </m:e>
            </m:acc>
          </m:e>
          <m:sup>
            <m:r>
              <m:rPr>
                <m:sty m:val="p"/>
              </m:rPr>
              <m:t xml:space="preserve">2</m:t>
            </m:r>
          </m:sup>
        </m:sSup>
      </m:oMath>
      <w:r>
        <w:t xml:space="preserve">:</w:t>
      </w:r>
    </w:p>
    <w:p>
      <w:pPr>
        <w:keepLines/>
        <w:spacing w:before="80" w:after="140"/>
        <w:jc w:val="center"/>
      </w:pPr>
      <m:oMathPara>
        <m:oMath>
          <m:sSub>
            <m:e>
              <m:r>
                <m:t xml:space="preserve">SE</m:t>
              </m:r>
            </m:e>
            <m:sub>
              <m:r>
                <m:rPr>
                  <m:sty m:val="p"/>
                </m:rPr>
                <m:t xml:space="preserve">pred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sSup>
                <m:e>
                  <m:acc>
                    <m:accPr>
                      <m:chr m:val="̂"/>
                    </m:accPr>
                    <m:e>
                      <m:r>
                        <m:t xml:space="preserve">σ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  <m:d>
                <m:dPr>
                  <m:begChr m:val="["/>
                  <m:endChr m:val="]"/>
                </m:dPr>
                <m:e>
                  <m:r>
                    <m:rPr>
                      <m:sty m:val="p"/>
                    </m:rPr>
                    <m:t xml:space="preserve">1 + </m:t>
                  </m:r>
                  <m:f>
                    <m:num>
                      <m:r>
                        <m:rPr>
                          <m:sty m:val="p"/>
                        </m:rPr>
                        <m:t xml:space="preserve">1</m:t>
                      </m:r>
                    </m:num>
                    <m:den>
                      <m:r>
                        <m:t xml:space="preserve">n</m:t>
                      </m:r>
                    </m:den>
                  </m:f>
                  <m:r>
                    <m:rPr>
                      <m:sty m:val="p"/>
                    </m:rPr>
                    <m:t xml:space="preserve"> + </m:t>
                  </m:r>
                  <m:f>
                    <m:num>
                      <m:sSup>
                        <m:e>
                          <m:r>
                            <m:rPr>
                              <m:sty m:val="p"/>
                            </m:rPr>
                            <m:t xml:space="preserve">(</m:t>
                          </m:r>
                          <m:sSub>
                            <m:e>
                              <m:r>
                                <m:t xml:space="preserve"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 xml:space="preserve">new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 xml:space="preserve"> − </m:t>
                          </m:r>
                          <m:bar>
                            <m:barPr>
                              <m:pos m:val="top"/>
                            </m:barPr>
                            <m:e>
                              <m:r>
                                <m:t xml:space="preserve">x</m:t>
                              </m:r>
                            </m:e>
                          </m:bar>
                          <m:r>
                            <m:rPr>
                              <m:sty m:val="p"/>
                            </m:rPr>
                            <m:t xml:space="preserve"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 xml:space="preserve"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 xml:space="preserve">S</m:t>
                          </m:r>
                        </m:e>
                        <m:sub>
                          <m:r>
                            <m:t xml:space="preserve">xx</m:t>
                          </m:r>
                        </m:sub>
                      </m:sSub>
                    </m:den>
                  </m:f>
                </m:e>
              </m:d>
            </m:e>
          </m:rad>
        </m:oMath>
      </m:oMathPara>
    </w:p>
    <w:p>
      <w:pPr>
        <w:keepLines/>
        <w:spacing w:before="80" w:after="140"/>
        <w:jc w:val="center"/>
      </w:pPr>
      <m:oMathPara>
        <m:oMath>
          <m:sSub>
            <m:e>
              <m:r>
                <m:t xml:space="preserve">SE</m:t>
              </m:r>
            </m:e>
            <m:sub>
              <m:r>
                <m:rPr>
                  <m:sty m:val="p"/>
                </m:rPr>
                <m:t xml:space="preserve">pred, LR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0.0011555 + </m:t>
              </m:r>
              <m:r>
                <m:rPr>
                  <m:sty m:val="p"/>
                </m:rPr>
                <m:t xml:space="preserve">3.576 × </m:t>
              </m:r>
              <m:sSup>
                <m:e>
                  <m:r>
                    <m:rPr>
                      <m:sty m:val="p"/>
                    </m:rPr>
                    <m:t xml:space="preserve">10</m:t>
                  </m:r>
                </m:e>
                <m:sup>
                  <m:r>
                    <m:rPr>
                      <m:sty m:val="p"/>
                    </m:rPr>
                    <m:t xml:space="preserve">−6</m:t>
                  </m:r>
                </m:sup>
              </m:sSup>
            </m:e>
          </m:rad>
          <m:r>
            <m:rPr>
              <m:sty m:val="p"/>
            </m:rPr>
            <m:t xml:space="preserve"> = 0.03405</m:t>
          </m:r>
        </m:oMath>
      </m:oMathPara>
    </w:p>
    <w:p>
      <w:pPr>
        <w:spacing w:after="140" w:line="259" w:lineRule="auto"/>
      </w:pPr>
      <w:r>
        <w:t xml:space="preserve">The prediction standard error is </w:t>
      </w:r>
      <w:r>
        <w:rPr>
          <w:b/>
        </w:rPr>
        <w:t xml:space="preserve">3.405%</w:t>
      </w:r>
      <w:r>
        <w:t xml:space="preserve">: in a month with a 3% market return, the realized Low Risk return typically deviates from the −1.313% forecast by about 3.4 percentage points. Estimation error accounts for only 0.3% of this variance; almost all comes from the unpredictable error term (</w:t>
      </w:r>
      <m:oMath>
        <m:acc>
          <m:accPr>
            <m:chr m:val="̂"/>
          </m:accPr>
          <m:e>
            <m:r>
              <m:t xml:space="preserve">σ</m:t>
            </m:r>
          </m:e>
        </m:acc>
        <m:r>
          <m:rPr>
            <m:sty m:val="p"/>
          </m:rPr>
          <m:t xml:space="preserve"> = 3.399%</m:t>
        </m:r>
      </m:oMath>
      <w:r>
        <w:t xml:space="preserve">).</w:t>
      </w:r>
    </w:p>
    <w:p>
      <w:pPr>
        <w:pStyle w:val="Heading1"/>
        <w:keepNext/>
        <w:pageBreakBefore w:val="0"/>
        <w:spacing w:before="240" w:after="100"/>
      </w:pPr>
      <w:r>
        <w:t>Question 2.17 Profitability Prediction Standard Error</w:t>
      </w:r>
    </w:p>
    <w:p>
      <w:pPr>
        <w:spacing w:after="140" w:line="259" w:lineRule="auto"/>
      </w:pPr>
      <w:r>
        <w:t xml:space="preserve">Using the same formula with the Profitability residual variance:</w:t>
      </w:r>
    </w:p>
    <w:p>
      <w:pPr>
        <w:keepLines/>
        <w:spacing w:before="80" w:after="140"/>
        <w:jc w:val="center"/>
      </w:pPr>
      <m:oMathPara>
        <m:oMath>
          <m:sSub>
            <m:e>
              <m:r>
                <m:t xml:space="preserve">SE</m:t>
              </m:r>
            </m:e>
            <m:sub>
              <m:r>
                <m:rPr>
                  <m:sty m:val="p"/>
                </m:rPr>
                <m:t xml:space="preserve">pred, Prof</m:t>
              </m:r>
            </m:sub>
          </m:sSub>
          <m:r>
            <m:rPr>
              <m:sty m:val="p"/>
            </m:rPr>
            <m:t xml:space="preserve">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0.00060385 × 1.003095</m:t>
              </m:r>
            </m:e>
          </m:rad>
          <m:r>
            <m:rPr>
              <m:sty m:val="p"/>
            </m:rPr>
            <m:t xml:space="preserve"> = 0.02461</m:t>
          </m:r>
        </m:oMath>
      </m:oMathPara>
    </w:p>
    <w:p>
      <w:pPr>
        <w:spacing w:after="140" w:line="259" w:lineRule="auto"/>
      </w:pPr>
      <w:r>
        <w:t xml:space="preserve">The Profitability prediction standard error is </w:t>
      </w:r>
      <w:r>
        <w:rPr>
          <w:b/>
        </w:rPr>
        <w:t xml:space="preserve">2.461%</w:t>
      </w:r>
      <w:r>
        <w:t xml:space="preserve">.</w:t>
      </w:r>
    </w:p>
    <w:p>
      <w:pPr>
        <w:pStyle w:val="Heading1"/>
        <w:keepNext/>
        <w:pageBreakBefore w:val="0"/>
        <w:spacing w:before="240" w:after="100"/>
      </w:pPr>
      <w:r>
        <w:t>Question 2.18 Comparison of Prediction Standard Errors</w:t>
      </w:r>
    </w:p>
    <w:p>
      <w:pPr>
        <w:spacing w:after="140" w:line="259" w:lineRule="auto"/>
      </w:pPr>
      <w:r>
        <w:t>Both regressions use the same market-return observations and forecast value, so the leverage term is identical. The difference comes entirely from the residual variances. Low Risk has a residual variance 1.91 times larger than Profitability, so its prediction standard error is the square root of 1.91, or approximately 1.38 times larger.</w:t>
      </w:r>
    </w:p>
    <w:p>
      <w:pPr>
        <w:pStyle w:val="Heading1"/>
        <w:keepNext/>
        <w:pageBreakBefore w:val="0"/>
        <w:spacing w:before="240" w:after="100"/>
      </w:pPr>
      <w:r>
        <w:t>Question 2.19 Eighty Percent Prediction Intervals</w:t>
      </w:r>
    </w:p>
    <w:p>
      <w:pPr>
        <w:spacing w:after="140" w:line="259" w:lineRule="auto"/>
      </w:pPr>
      <w:r>
        <w:t xml:space="preserve">For each factor, the 80% prediction interval is</w:t>
      </w:r>
    </w:p>
    <w:p>
      <w:pPr>
        <w:keepLines/>
        <w:spacing w:before="80" w:after="140"/>
        <w:jc w:val="center"/>
      </w:pPr>
      <m:oMathPara>
        <m:oMath>
          <m:acc>
            <m:accPr>
              <m:chr m:val="̂"/>
            </m:accPr>
            <m:e>
              <m:r>
                <m:t xml:space="preserve">r</m:t>
              </m:r>
            </m:e>
          </m:acc>
          <m:r>
            <m:rPr>
              <m:sty m:val="p"/>
            </m:rPr>
            <m:t xml:space="preserve"> ± </m:t>
          </m:r>
          <m:sSub>
            <m:e>
              <m:r>
                <m:t xml:space="preserve">t</m:t>
              </m:r>
            </m:e>
            <m:sub>
              <m:r>
                <m:rPr>
                  <m:sty m:val="p"/>
                </m:rPr>
                <m:t xml:space="preserve">0.90, 406</m:t>
              </m:r>
            </m:sub>
          </m:sSub>
          <m:r>
            <m:rPr>
              <m:sty m:val="p"/>
            </m:rPr>
            <m:t xml:space="preserve"> · </m:t>
          </m:r>
          <m:sSub>
            <m:e>
              <m:r>
                <m:t xml:space="preserve">SE</m:t>
              </m:r>
            </m:e>
            <m:sub>
              <m:r>
                <m:rPr>
                  <m:sty m:val="p"/>
                </m:rPr>
                <m:t xml:space="preserve">pred</m:t>
              </m:r>
            </m:sub>
          </m:sSub>
          <m:r>
            <m:rPr>
              <m:sty m:val="p"/>
            </m:rPr>
            <m:t xml:space="preserve">,     </m:t>
          </m:r>
          <m:r>
            <m:rPr>
              <m:nor/>
            </m:rPr>
            <w:rPr>
              <w:rFonts w:ascii="Cambria Math" w:hAnsi="Cambria Math"/>
            </w:rPr>
            <m:t xml:space="preserve">where </m:t>
          </m:r>
          <m:sSub>
            <m:e>
              <m:r>
                <m:t xml:space="preserve">t</m:t>
              </m:r>
            </m:e>
            <m:sub>
              <m:r>
                <m:rPr>
                  <m:sty m:val="p"/>
                </m:rPr>
                <m:t xml:space="preserve">0.90, 406</m:t>
              </m:r>
            </m:sub>
          </m:sSub>
          <m:r>
            <m:rPr>
              <m:sty m:val="p"/>
            </m:rPr>
            <m:t xml:space="preserve"> = 1.2836</m:t>
          </m:r>
        </m:oMath>
      </m:oMathPara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41"/>
        <w:gridCol w:w="2441"/>
        <w:gridCol w:w="2441"/>
        <w:gridCol w:w="2441"/>
      </w:tblGrid>
      <w:tr>
        <w:tc>
          <w:tcPr>
            <w:tcW w:type="dxa" w:w="1944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Factor</w:t>
            </w:r>
          </w:p>
        </w:tc>
        <w:tc>
          <w:tcPr>
            <w:tcW w:type="dxa" w:w="2232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Predicted return</w:t>
            </w:r>
          </w:p>
        </w:tc>
        <w:tc>
          <w:tcPr>
            <w:tcW w:type="dxa" w:w="2088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Prediction SE</w:t>
            </w:r>
          </w:p>
        </w:tc>
        <w:tc>
          <w:tcPr>
            <w:tcW w:type="dxa" w:w="3096"/>
            <w:shd w:fill="1F4E7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color w:val="FFFFFF"/>
                <w:sz w:val="19"/>
              </w:rPr>
              <w:t>80% prediction interval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Low Risk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−1.313%</w:t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3.405%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[−5.683%, 3.057%]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Profitability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−0.150%</w:t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2.461%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EAF2F8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[−3.309%, 3.010%]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Size</w:t>
            </w:r>
          </w:p>
        </w:tc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0.380%</w:t>
            </w:r>
          </w:p>
        </w:tc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2.231%</w:t>
            </w:r>
          </w:p>
        </w:tc>
        <w:tc>
          <w:tcPr>
            <w:tcW w:type="dxa" w:w="309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sz w:val="19"/>
              </w:rPr>
              <w:t>[−2.484%, 3.244%]</w:t>
            </w:r>
          </w:p>
        </w:tc>
      </w:tr>
    </w:tbl>
    <w:p>
      <w:pPr>
        <w:spacing w:before="120" w:after="180" w:line="259" w:lineRule="auto"/>
      </w:pPr>
      <w:r>
        <w:t xml:space="preserve">Conditional on a 3% market return and the model assumptions, each factor’s next-month return falls inside its interval with 80% probability (10% in each tail). The intervals are much wider than confidence intervals for the conditional mean because they include the new error term.</w:t>
      </w:r>
    </w:p>
    <w:p>
      <w:pPr>
        <w:pStyle w:val="Heading1"/>
        <w:keepNext/>
        <w:pageBreakBefore w:val="0"/>
        <w:spacing w:before="240" w:after="100"/>
      </w:pPr>
      <w:r>
        <w:t>Question 2.20 Use of the Prediction Intervals</w:t>
      </w:r>
    </w:p>
    <w:p>
      <w:pPr>
        <w:spacing w:after="140" w:line="259" w:lineRule="auto"/>
      </w:pPr>
      <w:r>
        <w:t xml:space="preserve">The intervals translate the macro view into a risk budget. For example, even if the market rises 3%, there is a 10% chance that Low Risk loses more than 5.68%, which can be used to size positions and set VaR-style loss limits. Since all intervals contain zero, the macro view alone does not justify a directional bet on any factor, though a bullish fund may want to trim its negative-beta Low Risk exposure. The intervals understate true risk, as they assume normal, stable errors and a correct 3% forecast.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38" w:bottom="979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color w:val="555555"/>
        <w:sz w:val="17"/>
      </w:rPr>
      <w:t xml:space="preserve">Prediction Intervals 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color w:val="555555"/>
        <w:sz w:val="17"/>
      </w:rPr>
      <w:t>MGT 924 Statistical Foundations  Problem Set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