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840" w:after="200"/>
        <w:jc w:val="center"/>
      </w:pPr>
      <w:r>
        <w:t>Problem Set 2 Statistical Foundations Guide</w:t>
      </w:r>
    </w:p>
    <w:p>
      <w:pPr>
        <w:spacing w:after="400"/>
        <w:jc w:val="center"/>
      </w:pPr>
      <w:r>
        <w:rPr>
          <w:rFonts w:ascii="Aptos" w:hAnsi="Aptos" w:eastAsia="Arial Unicode MS"/>
          <w:b/>
          <w:color w:val="464646"/>
          <w:sz w:val="32"/>
        </w:rPr>
        <w:t>Section by Section Explanation and Formula Guide</w:t>
      </w:r>
    </w:p>
    <w:p>
      <w:pPr>
        <w:jc w:val="center"/>
      </w:pPr>
      <w:r>
        <w:rPr>
          <w:rFonts w:ascii="Aptos" w:hAnsi="Aptos" w:eastAsia="Arial Unicode MS"/>
          <w:b/>
          <w:sz w:val="24"/>
        </w:rPr>
        <w:t>MGT 924 Statistical Foundations</w:t>
      </w:r>
    </w:p>
    <w:p>
      <w:pPr>
        <w:jc w:val="center"/>
      </w:pPr>
      <w:r>
        <w:rPr>
          <w:rFonts w:ascii="Aptos" w:hAnsi="Aptos" w:eastAsia="Arial Unicode MS"/>
          <w:color w:val="505050"/>
          <w:sz w:val="21"/>
        </w:rPr>
        <w:t>Simulation  CAPM Estimation  Statistical Inference  Prediction Intervals</w:t>
      </w:r>
    </w:p>
    <w:p/>
    <w:p>
      <w:pPr>
        <w:spacing w:after="100" w:line="269" w:lineRule="auto"/>
      </w:pPr>
      <w:r>
        <w:rPr>
          <w:rFonts w:ascii="Aptos" w:hAnsi="Aptos" w:eastAsia="Arial Unicode MS"/>
          <w:sz w:val="21"/>
        </w:rPr>
        <w:t>This guide explains the logic of the entire assignment section by section and shows how the four team roles fit together. The central progression is from understanding regression through simulation to estimating a CAPM, testing its parameters, and predicting future factor returns.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1656"/>
            <w:shd w:fill="1F4E78"/>
            <w:vAlign w:val="center"/>
            <w:tcMar>
              <w:top w:w="100" w:type="dxa"/>
              <w:start w:w="110" w:type="dxa"/>
              <w:bottom w:w="100" w:type="dxa"/>
              <w:end w:w="110" w:type="dxa"/>
            </w:tcMar>
          </w:tcPr>
          <w:p>
            <w:pPr>
              <w:keepLines/>
              <w:jc w:val="center"/>
            </w:pPr>
            <w:r>
              <w:rPr>
                <w:rFonts w:ascii="Aptos" w:hAnsi="Aptos" w:eastAsia="Arial Unicode MS"/>
                <w:b/>
                <w:color w:val="FFFFFF"/>
                <w:sz w:val="19"/>
              </w:rPr>
              <w:t>Role</w:t>
            </w:r>
          </w:p>
        </w:tc>
        <w:tc>
          <w:tcPr>
            <w:tcW w:type="dxa" w:w="2880"/>
            <w:shd w:fill="1F4E78"/>
            <w:vAlign w:val="center"/>
            <w:tcMar>
              <w:top w:w="100" w:type="dxa"/>
              <w:start w:w="110" w:type="dxa"/>
              <w:bottom w:w="100" w:type="dxa"/>
              <w:end w:w="110" w:type="dxa"/>
            </w:tcMar>
          </w:tcPr>
          <w:p>
            <w:pPr>
              <w:keepLines/>
              <w:jc w:val="center"/>
            </w:pPr>
            <w:r>
              <w:rPr>
                <w:rFonts w:ascii="Aptos" w:hAnsi="Aptos" w:eastAsia="Arial Unicode MS"/>
                <w:b/>
                <w:color w:val="FFFFFF"/>
                <w:sz w:val="19"/>
              </w:rPr>
              <w:t>Questions</w:t>
            </w:r>
          </w:p>
        </w:tc>
        <w:tc>
          <w:tcPr>
            <w:tcW w:type="dxa" w:w="5328"/>
            <w:shd w:fill="1F4E78"/>
            <w:vAlign w:val="center"/>
            <w:tcMar>
              <w:top w:w="100" w:type="dxa"/>
              <w:start w:w="110" w:type="dxa"/>
              <w:bottom w:w="100" w:type="dxa"/>
              <w:end w:w="110" w:type="dxa"/>
            </w:tcMar>
          </w:tcPr>
          <w:p>
            <w:pPr>
              <w:keepLines/>
              <w:jc w:val="center"/>
            </w:pPr>
            <w:r>
              <w:rPr>
                <w:rFonts w:ascii="Aptos" w:hAnsi="Aptos" w:eastAsia="Arial Unicode MS"/>
                <w:b/>
                <w:color w:val="FFFFFF"/>
                <w:sz w:val="19"/>
              </w:rPr>
              <w:t>Main responsibility</w:t>
            </w:r>
          </w:p>
        </w:tc>
      </w:tr>
      <w:tr>
        <w:tc>
          <w:tcPr>
            <w:tcW w:type="dxa" w:w="1656"/>
            <w:vAlign w:val="center"/>
            <w:tcMar>
              <w:top w:w="100" w:type="dxa"/>
              <w:start w:w="110" w:type="dxa"/>
              <w:bottom w:w="100" w:type="dxa"/>
              <w:end w:w="110" w:type="dxa"/>
            </w:tcMar>
          </w:tcPr>
          <w:p>
            <w:pPr>
              <w:keepLines/>
              <w:jc w:val="center"/>
            </w:pPr>
            <w:r>
              <w:rPr>
                <w:rFonts w:ascii="Aptos" w:hAnsi="Aptos" w:eastAsia="Arial Unicode MS"/>
                <w:sz w:val="18"/>
              </w:rPr>
              <w:t>Person A</w:t>
            </w:r>
          </w:p>
        </w:tc>
        <w:tc>
          <w:tcPr>
            <w:tcW w:type="dxa" w:w="2880"/>
            <w:vAlign w:val="center"/>
            <w:tcMar>
              <w:top w:w="100" w:type="dxa"/>
              <w:start w:w="110" w:type="dxa"/>
              <w:bottom w:w="100" w:type="dxa"/>
              <w:end w:w="110" w:type="dxa"/>
            </w:tcMar>
          </w:tcPr>
          <w:p>
            <w:pPr>
              <w:keepLines/>
              <w:jc w:val="center"/>
            </w:pPr>
            <w:r>
              <w:rPr>
                <w:rFonts w:ascii="Aptos" w:hAnsi="Aptos" w:eastAsia="Arial Unicode MS"/>
                <w:sz w:val="18"/>
              </w:rPr>
              <w:t>1.1 to 1.9</w:t>
            </w:r>
          </w:p>
        </w:tc>
        <w:tc>
          <w:tcPr>
            <w:tcW w:type="dxa" w:w="5328"/>
            <w:vAlign w:val="center"/>
            <w:tcMar>
              <w:top w:w="100" w:type="dxa"/>
              <w:start w:w="110" w:type="dxa"/>
              <w:bottom w:w="100" w:type="dxa"/>
              <w:end w:w="110" w:type="dxa"/>
            </w:tcMar>
          </w:tcPr>
          <w:p>
            <w:pPr>
              <w:keepLines/>
              <w:jc w:val="left"/>
            </w:pPr>
            <w:r>
              <w:rPr>
                <w:rFonts w:ascii="Aptos" w:hAnsi="Aptos" w:eastAsia="Arial Unicode MS"/>
                <w:sz w:val="18"/>
              </w:rPr>
              <w:t>Simulation and the sampling distribution of the SLR slope</w:t>
            </w:r>
          </w:p>
        </w:tc>
      </w:tr>
      <w:tr>
        <w:tc>
          <w:tcPr>
            <w:tcW w:type="dxa" w:w="1656"/>
            <w:vAlign w:val="center"/>
            <w:tcMar>
              <w:top w:w="100" w:type="dxa"/>
              <w:start w:w="110" w:type="dxa"/>
              <w:bottom w:w="100" w:type="dxa"/>
              <w:end w:w="110" w:type="dxa"/>
            </w:tcMar>
            <w:shd w:fill="EAF2F8"/>
          </w:tcPr>
          <w:p>
            <w:pPr>
              <w:keepLines/>
              <w:jc w:val="center"/>
            </w:pPr>
            <w:r>
              <w:rPr>
                <w:rFonts w:ascii="Aptos" w:hAnsi="Aptos" w:eastAsia="Arial Unicode MS"/>
                <w:sz w:val="18"/>
              </w:rPr>
              <w:t>Person B</w:t>
            </w:r>
          </w:p>
        </w:tc>
        <w:tc>
          <w:tcPr>
            <w:tcW w:type="dxa" w:w="2880"/>
            <w:vAlign w:val="center"/>
            <w:tcMar>
              <w:top w:w="100" w:type="dxa"/>
              <w:start w:w="110" w:type="dxa"/>
              <w:bottom w:w="100" w:type="dxa"/>
              <w:end w:w="110" w:type="dxa"/>
            </w:tcMar>
            <w:shd w:fill="EAF2F8"/>
          </w:tcPr>
          <w:p>
            <w:pPr>
              <w:keepLines/>
              <w:jc w:val="center"/>
            </w:pPr>
            <w:r>
              <w:rPr>
                <w:rFonts w:ascii="Aptos" w:hAnsi="Aptos" w:eastAsia="Arial Unicode MS"/>
                <w:sz w:val="18"/>
              </w:rPr>
              <w:t>2.1 to 2.6</w:t>
            </w:r>
          </w:p>
        </w:tc>
        <w:tc>
          <w:tcPr>
            <w:tcW w:type="dxa" w:w="5328"/>
            <w:vAlign w:val="center"/>
            <w:tcMar>
              <w:top w:w="100" w:type="dxa"/>
              <w:start w:w="110" w:type="dxa"/>
              <w:bottom w:w="100" w:type="dxa"/>
              <w:end w:w="110" w:type="dxa"/>
            </w:tcMar>
            <w:shd w:fill="EAF2F8"/>
          </w:tcPr>
          <w:p>
            <w:pPr>
              <w:keepLines/>
              <w:jc w:val="left"/>
            </w:pPr>
            <w:r>
              <w:rPr>
                <w:rFonts w:ascii="Aptos" w:hAnsi="Aptos" w:eastAsia="Arial Unicode MS"/>
                <w:sz w:val="18"/>
              </w:rPr>
              <w:t>CAPM estimation and regression diagnostics</w:t>
            </w:r>
          </w:p>
        </w:tc>
      </w:tr>
      <w:tr>
        <w:tc>
          <w:tcPr>
            <w:tcW w:type="dxa" w:w="1656"/>
            <w:vAlign w:val="center"/>
            <w:tcMar>
              <w:top w:w="100" w:type="dxa"/>
              <w:start w:w="110" w:type="dxa"/>
              <w:bottom w:w="100" w:type="dxa"/>
              <w:end w:w="110" w:type="dxa"/>
            </w:tcMar>
          </w:tcPr>
          <w:p>
            <w:pPr>
              <w:keepLines/>
              <w:jc w:val="center"/>
            </w:pPr>
            <w:r>
              <w:rPr>
                <w:rFonts w:ascii="Aptos" w:hAnsi="Aptos" w:eastAsia="Arial Unicode MS"/>
                <w:sz w:val="18"/>
              </w:rPr>
              <w:t>Person C</w:t>
            </w:r>
          </w:p>
        </w:tc>
        <w:tc>
          <w:tcPr>
            <w:tcW w:type="dxa" w:w="2880"/>
            <w:vAlign w:val="center"/>
            <w:tcMar>
              <w:top w:w="100" w:type="dxa"/>
              <w:start w:w="110" w:type="dxa"/>
              <w:bottom w:w="100" w:type="dxa"/>
              <w:end w:w="110" w:type="dxa"/>
            </w:tcMar>
          </w:tcPr>
          <w:p>
            <w:pPr>
              <w:keepLines/>
              <w:jc w:val="center"/>
            </w:pPr>
            <w:r>
              <w:rPr>
                <w:rFonts w:ascii="Aptos" w:hAnsi="Aptos" w:eastAsia="Arial Unicode MS"/>
                <w:sz w:val="18"/>
              </w:rPr>
              <w:t>2.7 to 2.13</w:t>
            </w:r>
          </w:p>
        </w:tc>
        <w:tc>
          <w:tcPr>
            <w:tcW w:type="dxa" w:w="5328"/>
            <w:vAlign w:val="center"/>
            <w:tcMar>
              <w:top w:w="100" w:type="dxa"/>
              <w:start w:w="110" w:type="dxa"/>
              <w:bottom w:w="100" w:type="dxa"/>
              <w:end w:w="110" w:type="dxa"/>
            </w:tcMar>
          </w:tcPr>
          <w:p>
            <w:pPr>
              <w:keepLines/>
              <w:jc w:val="left"/>
            </w:pPr>
            <w:r>
              <w:rPr>
                <w:rFonts w:ascii="Aptos" w:hAnsi="Aptos" w:eastAsia="Arial Unicode MS"/>
                <w:sz w:val="18"/>
              </w:rPr>
              <w:t>Hypothesis tests and confidence intervals</w:t>
            </w:r>
          </w:p>
        </w:tc>
      </w:tr>
      <w:tr>
        <w:tc>
          <w:tcPr>
            <w:tcW w:type="dxa" w:w="1656"/>
            <w:vAlign w:val="center"/>
            <w:tcMar>
              <w:top w:w="100" w:type="dxa"/>
              <w:start w:w="110" w:type="dxa"/>
              <w:bottom w:w="100" w:type="dxa"/>
              <w:end w:w="110" w:type="dxa"/>
            </w:tcMar>
            <w:shd w:fill="EAF2F8"/>
          </w:tcPr>
          <w:p>
            <w:pPr>
              <w:keepLines/>
              <w:jc w:val="center"/>
            </w:pPr>
            <w:r>
              <w:rPr>
                <w:rFonts w:ascii="Aptos" w:hAnsi="Aptos" w:eastAsia="Arial Unicode MS"/>
                <w:sz w:val="18"/>
              </w:rPr>
              <w:t>Person D</w:t>
            </w:r>
          </w:p>
        </w:tc>
        <w:tc>
          <w:tcPr>
            <w:tcW w:type="dxa" w:w="2880"/>
            <w:vAlign w:val="center"/>
            <w:tcMar>
              <w:top w:w="100" w:type="dxa"/>
              <w:start w:w="110" w:type="dxa"/>
              <w:bottom w:w="100" w:type="dxa"/>
              <w:end w:w="110" w:type="dxa"/>
            </w:tcMar>
            <w:shd w:fill="EAF2F8"/>
          </w:tcPr>
          <w:p>
            <w:pPr>
              <w:keepLines/>
              <w:jc w:val="center"/>
            </w:pPr>
            <w:r>
              <w:rPr>
                <w:rFonts w:ascii="Aptos" w:hAnsi="Aptos" w:eastAsia="Arial Unicode MS"/>
                <w:sz w:val="18"/>
              </w:rPr>
              <w:t>2.14 to 2.20</w:t>
            </w:r>
          </w:p>
        </w:tc>
        <w:tc>
          <w:tcPr>
            <w:tcW w:type="dxa" w:w="5328"/>
            <w:vAlign w:val="center"/>
            <w:tcMar>
              <w:top w:w="100" w:type="dxa"/>
              <w:start w:w="110" w:type="dxa"/>
              <w:bottom w:w="100" w:type="dxa"/>
              <w:end w:w="110" w:type="dxa"/>
            </w:tcMar>
            <w:shd w:fill="EAF2F8"/>
          </w:tcPr>
          <w:p>
            <w:pPr>
              <w:keepLines/>
              <w:jc w:val="left"/>
            </w:pPr>
            <w:r>
              <w:rPr>
                <w:rFonts w:ascii="Aptos" w:hAnsi="Aptos" w:eastAsia="Arial Unicode MS"/>
                <w:sz w:val="18"/>
              </w:rPr>
              <w:t>Conditional predictions and prediction intervals</w:t>
            </w:r>
          </w:p>
        </w:tc>
      </w:tr>
    </w:tbl>
    <w:p>
      <w:r>
        <w:br w:type="page"/>
      </w:r>
    </w:p>
    <w:p>
      <w:pPr>
        <w:pStyle w:val="Heading1"/>
        <w:spacing w:before="280" w:after="160"/>
      </w:pPr>
      <w:r>
        <w:rPr>
          <w:rFonts w:ascii="Aptos Display" w:hAnsi="Aptos Display" w:eastAsia="Arial Unicode MS"/>
          <w:b/>
          <w:sz w:val="34"/>
        </w:rPr>
        <w:t>Problem 1 Simulating Simple Linear Regression</w:t>
      </w:r>
    </w:p>
    <w:p>
      <w:pPr>
        <w:spacing w:after="100" w:line="269" w:lineRule="auto"/>
      </w:pPr>
      <w:r>
        <w:rPr>
          <w:rFonts w:ascii="Aptos" w:hAnsi="Aptos" w:eastAsia="Arial Unicode MS"/>
          <w:sz w:val="21"/>
        </w:rPr>
        <w:t>Purpose. Problem 1 uses a known data-generating process so that the estimated regression can be compared with the truth. Because the true intercept, slope, and error variance are known, repeated simulation reveals how sampling variation affects OLS estimates.</w:t>
      </w:r>
    </w:p>
    <w:p>
      <w:pPr>
        <w:spacing w:before="100" w:after="140"/>
        <w:jc w:val="center"/>
      </w:pPr>
      <m:oMathPara>
        <m:oMath>
          <m:sSub>
            <m:e>
              <m:r>
                <m:rPr>
                  <m:sty m:val="i"/>
                </m:rPr>
                <m:t>y</m:t>
              </m:r>
            </m:e>
            <m:sub>
              <m:r>
                <m:t>i</m:t>
              </m:r>
            </m:sub>
          </m:sSub>
          <m:r>
            <m:t> = 50 + 3</m:t>
          </m:r>
          <m:sSub>
            <m:e>
              <m:r>
                <m:rPr>
                  <m:sty m:val="i"/>
                </m:rPr>
                <m:t>x</m:t>
              </m:r>
            </m:e>
            <m:sub>
              <m:r>
                <m:t>i</m:t>
              </m:r>
            </m:sub>
          </m:sSub>
          <m:r>
            <m:t> + </m:t>
          </m:r>
          <m:sSub>
            <m:e>
              <m:r>
                <m:rPr>
                  <m:sty m:val="i"/>
                </m:rPr>
                <m:t>u</m:t>
              </m:r>
            </m:e>
            <m:sub>
              <m:r>
                <m:t>i</m:t>
              </m:r>
            </m:sub>
          </m:sSub>
        </m:oMath>
      </m:oMathPara>
    </w:p>
    <w:p>
      <w:pPr>
        <w:pStyle w:val="Heading2"/>
      </w:pPr>
      <w:r>
        <w:rPr>
          <w:rFonts w:ascii="Aptos Display" w:hAnsi="Aptos Display" w:eastAsia="Arial Unicode MS"/>
          <w:b/>
          <w:sz w:val="26"/>
        </w:rPr>
        <w:t>Questions 1.1 to 1.3  Generate and fit the data</w:t>
      </w:r>
    </w:p>
    <w:p>
      <w:pPr>
        <w:pStyle w:val="ListBullet"/>
        <w:spacing w:after="40"/>
      </w:pPr>
      <w:r>
        <w:rPr>
          <w:rFonts w:ascii="Aptos" w:hAnsi="Aptos" w:eastAsia="Arial Unicode MS"/>
          <w:sz w:val="21"/>
        </w:rPr>
        <w:t>Generate 100 values of x from a normal distribution and generate y using the model above.</w:t>
      </w:r>
    </w:p>
    <w:p>
      <w:pPr>
        <w:pStyle w:val="ListBullet"/>
        <w:spacing w:after="40"/>
      </w:pPr>
      <w:r>
        <w:rPr>
          <w:rFonts w:ascii="Aptos" w:hAnsi="Aptos" w:eastAsia="Arial Unicode MS"/>
          <w:sz w:val="21"/>
        </w:rPr>
        <w:t>Plot y against x and add the true regression line with intercept 50 and slope 3.</w:t>
      </w:r>
    </w:p>
    <w:p>
      <w:pPr>
        <w:pStyle w:val="ListBullet"/>
        <w:spacing w:after="40"/>
      </w:pPr>
      <w:r>
        <w:rPr>
          <w:rFonts w:ascii="Aptos" w:hAnsi="Aptos" w:eastAsia="Arial Unicode MS"/>
          <w:sz w:val="21"/>
        </w:rPr>
        <w:t>Estimate the model in samples of size 10 and 90. The fitted lines differ because each sample contains different realizations of the error term; the larger sample is usually more stable.</w:t>
      </w:r>
    </w:p>
    <w:p>
      <w:pPr>
        <w:pStyle w:val="Heading2"/>
      </w:pPr>
      <w:r>
        <w:rPr>
          <w:rFonts w:ascii="Aptos Display" w:hAnsi="Aptos Display" w:eastAsia="Arial Unicode MS"/>
          <w:b/>
          <w:sz w:val="26"/>
        </w:rPr>
        <w:t>Questions 1.4 to 1.5  Sample moments and population moments</w:t>
      </w:r>
    </w:p>
    <w:p>
      <w:pPr>
        <w:spacing w:after="100" w:line="269" w:lineRule="auto"/>
      </w:pPr>
      <w:r>
        <w:rPr>
          <w:rFonts w:ascii="Aptos" w:hAnsi="Aptos" w:eastAsia="Arial Unicode MS"/>
          <w:sz w:val="21"/>
        </w:rPr>
        <w:t>The sample mean and variance describe the particular simulated dataset. The population moments are derived from the model and the assumed distributions of x and u.</w:t>
      </w:r>
    </w:p>
    <w:p>
      <w:pPr>
        <w:spacing w:before="100" w:after="140"/>
        <w:jc w:val="center"/>
      </w:pPr>
      <m:oMathPara>
        <m:oMath>
          <m:r>
            <m:t>E(y) = 50 + 3E(x) + E(u)</m:t>
          </m:r>
        </m:oMath>
      </m:oMathPara>
    </w:p>
    <w:p>
      <w:pPr>
        <w:spacing w:before="100" w:after="140"/>
        <w:jc w:val="center"/>
      </w:pPr>
      <m:oMathPara>
        <m:oMath>
          <m:r>
            <m:t>Var(y) = </m:t>
          </m:r>
          <m:sSup>
            <m:e>
              <m:r>
                <m:rPr>
                  <m:sty m:val="i"/>
                </m:rPr>
                <m:t>3</m:t>
              </m:r>
            </m:e>
            <m:sup>
              <m:r>
                <m:t>2</m:t>
              </m:r>
            </m:sup>
          </m:sSup>
          <m:r>
            <m:t>Var(x) + Var(u)</m:t>
          </m:r>
        </m:oMath>
      </m:oMathPara>
    </w:p>
    <w:p>
      <w:pPr>
        <w:pStyle w:val="Heading2"/>
      </w:pPr>
      <w:r>
        <w:rPr>
          <w:rFonts w:ascii="Aptos Display" w:hAnsi="Aptos Display" w:eastAsia="Arial Unicode MS"/>
          <w:b/>
          <w:sz w:val="26"/>
        </w:rPr>
        <w:t>Questions 1.6 to 1.9  Sampling distribution of the slope</w:t>
      </w:r>
    </w:p>
    <w:p>
      <w:pPr>
        <w:spacing w:after="100" w:line="269" w:lineRule="auto"/>
      </w:pPr>
      <w:r>
        <w:rPr>
          <w:rFonts w:ascii="Aptos" w:hAnsi="Aptos" w:eastAsia="Arial Unicode MS"/>
          <w:sz w:val="21"/>
        </w:rPr>
        <w:t>Holding the sampled x values fixed, repeatedly draw new errors, construct new y samples, and re-estimate the slope. The resulting histogram approximates the sampling distribution of the OLS slope.</w:t>
      </w:r>
    </w:p>
    <w:p>
      <w:pPr>
        <w:spacing w:before="100" w:after="140"/>
        <w:jc w:val="center"/>
      </w:pPr>
      <m:oMathPara>
        <m:oMath>
          <m:r>
            <m:t>E(</m:t>
          </m:r>
          <m:acc>
            <m:accPr>
              <m:chr m:val="ˆ"/>
            </m:accPr>
            <m:e>
              <m:r>
                <m:rPr>
                  <m:sty m:val="i"/>
                </m:rPr>
                <m:t>β</m:t>
              </m:r>
            </m:e>
          </m:acc>
          <m:r>
            <m:t>) = β    and    Var(</m:t>
          </m:r>
          <m:acc>
            <m:accPr>
              <m:chr m:val="ˆ"/>
            </m:accPr>
            <m:e>
              <m:r>
                <m:rPr>
                  <m:sty m:val="i"/>
                </m:rPr>
                <m:t>β</m:t>
              </m:r>
            </m:e>
          </m:acc>
          <m:r>
            <m:t>) = </m:t>
          </m:r>
          <m:f>
            <m:num>
              <m:sSup>
                <m:e>
                  <m:r>
                    <m:rPr>
                      <m:sty m:val="i"/>
                    </m:rPr>
                    <m:t>σ</m:t>
                  </m:r>
                </m:e>
                <m:sup>
                  <m:r>
                    <m:t>2</m:t>
                  </m:r>
                </m:sup>
              </m:sSup>
            </m:num>
            <m:den>
              <m:r>
                <m:t>Sxx</m:t>
              </m:r>
            </m:den>
          </m:f>
        </m:oMath>
      </m:oMathPara>
    </w:p>
    <w:p>
      <w:pPr>
        <w:spacing w:after="100" w:line="269" w:lineRule="auto"/>
      </w:pPr>
      <w:r>
        <w:rPr>
          <w:rFonts w:ascii="Aptos" w:hAnsi="Aptos" w:eastAsia="Arial Unicode MS"/>
          <w:sz w:val="21"/>
        </w:rPr>
        <w:t>More variation in x increases Sxx and therefore reduces the slope variance. A larger sample and a smaller error variance also make the estimate more precise.</w:t>
      </w:r>
    </w:p>
    <w:p>
      <w:pPr>
        <w:pStyle w:val="Heading1"/>
        <w:spacing w:before="280" w:after="160"/>
      </w:pPr>
      <w:r>
        <w:rPr>
          <w:rFonts w:ascii="Aptos Display" w:hAnsi="Aptos Display" w:eastAsia="Arial Unicode MS"/>
          <w:b/>
          <w:sz w:val="34"/>
        </w:rPr>
        <w:t>Problem 2 CAPM Regressions</w:t>
      </w:r>
    </w:p>
    <w:p>
      <w:pPr>
        <w:spacing w:after="100" w:line="269" w:lineRule="auto"/>
      </w:pPr>
      <w:r>
        <w:rPr>
          <w:rFonts w:ascii="Aptos" w:hAnsi="Aptos" w:eastAsia="Arial Unicode MS"/>
          <w:sz w:val="21"/>
        </w:rPr>
        <w:t>Problem 2 replaces simulated data with monthly market and factor returns. Each factor is regressed on the market excess return.</w:t>
      </w:r>
    </w:p>
    <w:p>
      <w:pPr>
        <w:spacing w:before="100" w:after="140"/>
        <w:jc w:val="center"/>
      </w:pPr>
      <m:oMathPara>
        <m:oMath>
          <m:sSub>
            <m:e>
              <m:r>
                <m:rPr>
                  <m:sty m:val="i"/>
                </m:rPr>
                <m:t>r</m:t>
              </m:r>
            </m:e>
            <m:sub>
              <m:r>
                <m:t>i,t</m:t>
              </m:r>
            </m:sub>
          </m:sSub>
          <m:r>
            <m:t> = </m:t>
          </m:r>
          <m:sSub>
            <m:e>
              <m:r>
                <m:rPr>
                  <m:sty m:val="i"/>
                </m:rPr>
                <m:t>α</m:t>
              </m:r>
            </m:e>
            <m:sub>
              <m:r>
                <m:t>i</m:t>
              </m:r>
            </m:sub>
          </m:sSub>
          <m:r>
            <m:t> + </m:t>
          </m:r>
          <m:sSub>
            <m:e>
              <m:r>
                <m:rPr>
                  <m:sty m:val="i"/>
                </m:rPr>
                <m:t>β</m:t>
              </m:r>
            </m:e>
            <m:sub>
              <m:r>
                <m:t>i</m:t>
              </m:r>
            </m:sub>
          </m:sSub>
          <m:sSub>
            <m:e>
              <m:r>
                <m:rPr>
                  <m:sty m:val="i"/>
                </m:rPr>
                <m:t>r</m:t>
              </m:r>
            </m:e>
            <m:sub>
              <m:r>
                <m:t>mkt,t</m:t>
              </m:r>
            </m:sub>
          </m:sSub>
          <m:r>
            <m:t> + </m:t>
          </m:r>
          <m:sSub>
            <m:e>
              <m:r>
                <m:rPr>
                  <m:sty m:val="i"/>
                </m:rPr>
                <m:t>u</m:t>
              </m:r>
            </m:e>
            <m:sub>
              <m:r>
                <m:t>i,t</m:t>
              </m:r>
            </m:sub>
          </m:sSub>
        </m:oMath>
      </m:oMathPara>
    </w:p>
    <w:p>
      <w:pPr>
        <w:pStyle w:val="ListBullet"/>
        <w:spacing w:after="40"/>
      </w:pPr>
      <w:r>
        <w:rPr>
          <w:rFonts w:ascii="Aptos" w:hAnsi="Aptos" w:eastAsia="Arial Unicode MS"/>
          <w:sz w:val="21"/>
        </w:rPr>
        <w:t>Alpha is the average factor return not explained by contemporaneous market exposure.</w:t>
      </w:r>
    </w:p>
    <w:p>
      <w:pPr>
        <w:pStyle w:val="ListBullet"/>
        <w:spacing w:after="40"/>
      </w:pPr>
      <w:r>
        <w:rPr>
          <w:rFonts w:ascii="Aptos" w:hAnsi="Aptos" w:eastAsia="Arial Unicode MS"/>
          <w:sz w:val="21"/>
        </w:rPr>
        <w:t>Beta measures how strongly the factor return moves with the market return.</w:t>
      </w:r>
    </w:p>
    <w:p>
      <w:pPr>
        <w:pStyle w:val="ListBullet"/>
        <w:spacing w:after="40"/>
      </w:pPr>
      <w:r>
        <w:rPr>
          <w:rFonts w:ascii="Aptos" w:hAnsi="Aptos" w:eastAsia="Arial Unicode MS"/>
          <w:sz w:val="21"/>
        </w:rPr>
        <w:t>The residual captures variation that the one-factor market model does not explain.</w:t>
      </w:r>
    </w:p>
    <w:p>
      <w:pPr>
        <w:pStyle w:val="Heading1"/>
        <w:spacing w:before="280" w:after="160"/>
      </w:pPr>
      <w:r>
        <w:rPr>
          <w:rFonts w:ascii="Aptos Display" w:hAnsi="Aptos Display" w:eastAsia="Arial Unicode MS"/>
          <w:b/>
          <w:sz w:val="34"/>
        </w:rPr>
        <w:t>Questions 2.1 to 2.6  Estimating the CAPM</w:t>
      </w:r>
    </w:p>
    <w:p>
      <w:pPr>
        <w:pStyle w:val="Heading2"/>
      </w:pPr>
      <w:r>
        <w:rPr>
          <w:rFonts w:ascii="Aptos Display" w:hAnsi="Aptos Display" w:eastAsia="Arial Unicode MS"/>
          <w:b/>
          <w:sz w:val="26"/>
        </w:rPr>
        <w:t>Question 2.1  OLS coefficients</w:t>
      </w:r>
    </w:p>
    <w:p>
      <w:pPr>
        <w:spacing w:after="100" w:line="269" w:lineRule="auto"/>
      </w:pPr>
      <w:r>
        <w:rPr>
          <w:rFonts w:ascii="Aptos" w:hAnsi="Aptos" w:eastAsia="Arial Unicode MS"/>
          <w:sz w:val="21"/>
        </w:rPr>
        <w:t>For Low Risk, Profitability, and Size, estimate the slope from the sample covariance with the market and estimate the intercept from the sample means.</w:t>
      </w:r>
    </w:p>
    <w:p>
      <w:pPr>
        <w:spacing w:before="100" w:after="140"/>
        <w:jc w:val="center"/>
      </w:pPr>
      <m:oMathPara>
        <m:oMath>
          <m:acc>
            <m:accPr>
              <m:chr m:val="ˆ"/>
            </m:accPr>
            <m:e>
              <m:r>
                <m:rPr>
                  <m:sty m:val="i"/>
                </m:rPr>
                <m:t>β</m:t>
              </m:r>
            </m:e>
          </m:acc>
          <m:r>
            <m:t> = </m:t>
          </m:r>
          <m:f>
            <m:num>
              <m:r>
                <m:t>Σ(xₜ−x̄)(yₜ−ȳ)</m:t>
              </m:r>
            </m:num>
            <m:den>
              <m:sSup>
                <m:e>
                  <m:r>
                    <m:rPr>
                      <m:sty m:val="i"/>
                    </m:rPr>
                    <m:t>Σ(xₜ−x̄)</m:t>
                  </m:r>
                </m:e>
                <m:sup>
                  <m:r>
                    <m:t>2</m:t>
                  </m:r>
                </m:sup>
              </m:sSup>
            </m:den>
          </m:f>
          <m:r>
            <m:t>      </m:t>
          </m:r>
          <m:acc>
            <m:accPr>
              <m:chr m:val="ˆ"/>
            </m:accPr>
            <m:e>
              <m:r>
                <m:rPr>
                  <m:sty m:val="i"/>
                </m:rPr>
                <m:t>α</m:t>
              </m:r>
            </m:e>
          </m:acc>
          <m:r>
            <m:t> = ȳ − </m:t>
          </m:r>
          <m:acc>
            <m:accPr>
              <m:chr m:val="ˆ"/>
            </m:accPr>
            <m:e>
              <m:r>
                <m:rPr>
                  <m:sty m:val="i"/>
                </m:rPr>
                <m:t>β</m:t>
              </m:r>
            </m:e>
          </m:acc>
          <m:r>
            <m:t>x̄</m:t>
          </m:r>
        </m:oMath>
      </m:oMathPara>
    </w:p>
    <w:p>
      <w:pPr>
        <w:pStyle w:val="Heading2"/>
      </w:pPr>
      <w:r>
        <w:rPr>
          <w:rFonts w:ascii="Aptos Display" w:hAnsi="Aptos Display" w:eastAsia="Arial Unicode MS"/>
          <w:b/>
          <w:sz w:val="26"/>
        </w:rPr>
        <w:t>Questions 2.2 to 2.3  Interpretation and uncertainty</w:t>
      </w:r>
    </w:p>
    <w:p>
      <w:pPr>
        <w:spacing w:after="100" w:line="269" w:lineRule="auto"/>
      </w:pPr>
      <w:r>
        <w:rPr>
          <w:rFonts w:ascii="Aptos" w:hAnsi="Aptos" w:eastAsia="Arial Unicode MS"/>
          <w:sz w:val="21"/>
        </w:rPr>
        <w:t>Interpret Profitability's alpha as its estimated monthly return when the market excess return is zero, and interpret beta as the change in its expected return associated with a one-unit change in the market return.</w:t>
      </w:r>
    </w:p>
    <w:p>
      <w:pPr>
        <w:spacing w:before="100" w:after="140"/>
        <w:jc w:val="center"/>
      </w:pPr>
      <m:oMathPara>
        <m:oMath>
          <m:sSup>
            <m:e>
              <m:r>
                <m:rPr>
                  <m:sty m:val="i"/>
                </m:rPr>
                <m:t>σ̂</m:t>
              </m:r>
            </m:e>
            <m:sup>
              <m:r>
                <m:t>2</m:t>
              </m:r>
            </m:sup>
          </m:sSup>
          <m:r>
            <m:t> = </m:t>
          </m:r>
          <m:f>
            <m:num>
              <m:r>
                <m:t>Σ</m:t>
              </m:r>
              <m:sSup>
                <m:e>
                  <m:r>
                    <m:rPr>
                      <m:sty m:val="i"/>
                    </m:rPr>
                    <m:t>ûₜ</m:t>
                  </m:r>
                </m:e>
                <m:sup>
                  <m:r>
                    <m:t>2</m:t>
                  </m:r>
                </m:sup>
              </m:sSup>
            </m:num>
            <m:den>
              <m:r>
                <m:t>n − 2</m:t>
              </m:r>
            </m:den>
          </m:f>
        </m:oMath>
      </m:oMathPara>
    </w:p>
    <w:p>
      <w:pPr>
        <w:spacing w:after="100" w:line="269" w:lineRule="auto"/>
      </w:pPr>
      <w:r>
        <w:rPr>
          <w:rFonts w:ascii="Aptos" w:hAnsi="Aptos" w:eastAsia="Arial Unicode MS"/>
          <w:sz w:val="21"/>
        </w:rPr>
        <w:t>The residual variance estimates unexplained return variation. Standard errors for alpha and beta translate that residual noise into uncertainty about the two coefficient estimates.</w:t>
      </w:r>
    </w:p>
    <w:p>
      <w:pPr>
        <w:pStyle w:val="Heading2"/>
      </w:pPr>
      <w:r>
        <w:rPr>
          <w:rFonts w:ascii="Aptos Display" w:hAnsi="Aptos Display" w:eastAsia="Arial Unicode MS"/>
          <w:b/>
          <w:sz w:val="26"/>
        </w:rPr>
        <w:t>Questions 2.4 to 2.6  Distribution and diagnostics</w:t>
      </w:r>
    </w:p>
    <w:p>
      <w:pPr>
        <w:pStyle w:val="ListBullet"/>
        <w:spacing w:after="40"/>
      </w:pPr>
      <w:r>
        <w:rPr>
          <w:rFonts w:ascii="Aptos" w:hAnsi="Aptos" w:eastAsia="Arial Unicode MS"/>
          <w:sz w:val="21"/>
        </w:rPr>
        <w:t>With known error variance, the standardized alpha estimate follows a normal distribution under normal errors.</w:t>
      </w:r>
    </w:p>
    <w:p>
      <w:pPr>
        <w:pStyle w:val="ListBullet"/>
        <w:spacing w:after="40"/>
      </w:pPr>
      <w:r>
        <w:rPr>
          <w:rFonts w:ascii="Aptos" w:hAnsi="Aptos" w:eastAsia="Arial Unicode MS"/>
          <w:sz w:val="21"/>
        </w:rPr>
        <w:t>With estimated error variance, the standardized statistic follows a t distribution with n minus 2 degrees of freedom.</w:t>
      </w:r>
    </w:p>
    <w:p>
      <w:pPr>
        <w:pStyle w:val="ListBullet"/>
        <w:spacing w:after="40"/>
      </w:pPr>
      <w:r>
        <w:rPr>
          <w:rFonts w:ascii="Aptos" w:hAnsi="Aptos" w:eastAsia="Arial Unicode MS"/>
          <w:sz w:val="21"/>
        </w:rPr>
        <w:t>A residual histogram helps assess normality. With 408 observations, large-sample approximations make moderate non-normality less damaging for inference.</w:t>
      </w:r>
    </w:p>
    <w:p>
      <w:pPr>
        <w:pStyle w:val="Heading1"/>
        <w:spacing w:before="280" w:after="160"/>
      </w:pPr>
      <w:r>
        <w:rPr>
          <w:rFonts w:ascii="Aptos Display" w:hAnsi="Aptos Display" w:eastAsia="Arial Unicode MS"/>
          <w:b/>
          <w:sz w:val="34"/>
        </w:rPr>
        <w:t>Questions 2.7 to 2.10  Testing the CAPM</w:t>
      </w:r>
    </w:p>
    <w:p>
      <w:pPr>
        <w:spacing w:after="100" w:line="269" w:lineRule="auto"/>
      </w:pPr>
      <w:r>
        <w:rPr>
          <w:rFonts w:ascii="Aptos" w:hAnsi="Aptos" w:eastAsia="Arial Unicode MS"/>
          <w:sz w:val="21"/>
        </w:rPr>
        <w:t>These questions focus on the Size factor. They ask whether observed coefficient estimates are far enough from hypothesized population values to be statistically significant.</w:t>
      </w:r>
    </w:p>
    <w:p>
      <w:pPr>
        <w:spacing w:before="100" w:after="140"/>
        <w:jc w:val="center"/>
      </w:pPr>
      <m:oMathPara>
        <m:oMath>
          <m:r>
            <m:t>t = </m:t>
          </m:r>
          <m:f>
            <m:num>
              <m:r>
                <m:t>estimate − hypothesized value</m:t>
              </m:r>
            </m:num>
            <m:den>
              <m:r>
                <m:t>standard error of estimate</m:t>
              </m:r>
            </m:den>
          </m:f>
        </m:oMath>
      </m:oMathPara>
    </w:p>
    <w:p>
      <w:pPr>
        <w:pStyle w:val="ListBullet"/>
        <w:spacing w:after="40"/>
      </w:pPr>
      <w:r>
        <w:rPr>
          <w:rFonts w:ascii="Aptos" w:hAnsi="Aptos" w:eastAsia="Arial Unicode MS"/>
          <w:sz w:val="21"/>
        </w:rPr>
        <w:t>Question 2.8 tests whether Size alpha equals zero at a 15% significance level.</w:t>
      </w:r>
    </w:p>
    <w:p>
      <w:pPr>
        <w:pStyle w:val="ListBullet"/>
        <w:spacing w:after="40"/>
      </w:pPr>
      <w:r>
        <w:rPr>
          <w:rFonts w:ascii="Aptos" w:hAnsi="Aptos" w:eastAsia="Arial Unicode MS"/>
          <w:sz w:val="21"/>
        </w:rPr>
        <w:t>Question 2.9 shows how the p-value changes across two-sided, right-sided, and left-sided alternatives.</w:t>
      </w:r>
    </w:p>
    <w:p>
      <w:pPr>
        <w:pStyle w:val="ListBullet"/>
        <w:spacing w:after="40"/>
      </w:pPr>
      <w:r>
        <w:rPr>
          <w:rFonts w:ascii="Aptos" w:hAnsi="Aptos" w:eastAsia="Arial Unicode MS"/>
          <w:sz w:val="21"/>
        </w:rPr>
        <w:t>Question 2.10 tests whether the Size beta equals 0.2.</w:t>
      </w:r>
    </w:p>
    <w:p>
      <w:pPr>
        <w:pStyle w:val="Heading1"/>
        <w:spacing w:before="280" w:after="160"/>
      </w:pPr>
      <w:r>
        <w:rPr>
          <w:rFonts w:ascii="Aptos Display" w:hAnsi="Aptos Display" w:eastAsia="Arial Unicode MS"/>
          <w:b/>
          <w:sz w:val="34"/>
        </w:rPr>
        <w:t>Questions 2.11 to 2.13  Confidence Intervals</w:t>
      </w:r>
    </w:p>
    <w:p>
      <w:pPr>
        <w:spacing w:after="100" w:line="269" w:lineRule="auto"/>
      </w:pPr>
      <w:r>
        <w:rPr>
          <w:rFonts w:ascii="Aptos" w:hAnsi="Aptos" w:eastAsia="Arial Unicode MS"/>
          <w:sz w:val="21"/>
        </w:rPr>
        <w:t>A confidence interval describes plausible values for a fixed population coefficient. It is not a range for a future monthly return.</w:t>
      </w:r>
    </w:p>
    <w:p>
      <w:pPr>
        <w:spacing w:before="100" w:after="140"/>
        <w:jc w:val="center"/>
      </w:pPr>
      <m:oMathPara>
        <m:oMath>
          <m:r>
            <m:t>estimate ± </m:t>
          </m:r>
          <m:sSub>
            <m:e>
              <m:r>
                <m:rPr>
                  <m:sty m:val="i"/>
                </m:rPr>
                <m:t>t</m:t>
              </m:r>
            </m:e>
            <m:sub>
              <m:r>
                <m:t>0.975,n−2</m:t>
              </m:r>
            </m:sub>
          </m:sSub>
          <m:r>
            <m:t> × standard error</m:t>
          </m:r>
        </m:oMath>
      </m:oMathPara>
    </w:p>
    <w:p>
      <w:pPr>
        <w:pStyle w:val="ListBullet"/>
        <w:spacing w:after="40"/>
      </w:pPr>
      <w:r>
        <w:rPr>
          <w:rFonts w:ascii="Aptos" w:hAnsi="Aptos" w:eastAsia="Arial Unicode MS"/>
          <w:sz w:val="21"/>
        </w:rPr>
        <w:t>Construct 95% intervals for the three alpha estimates and the three beta estimates.</w:t>
      </w:r>
    </w:p>
    <w:p>
      <w:pPr>
        <w:pStyle w:val="ListBullet"/>
        <w:spacing w:after="40"/>
      </w:pPr>
      <w:r>
        <w:rPr>
          <w:rFonts w:ascii="Aptos" w:hAnsi="Aptos" w:eastAsia="Arial Unicode MS"/>
          <w:sz w:val="21"/>
        </w:rPr>
        <w:t>Intervals differ because residual variances and coefficient standard errors differ across factor regressions.</w:t>
      </w:r>
    </w:p>
    <w:p>
      <w:pPr>
        <w:pStyle w:val="Heading1"/>
        <w:spacing w:before="280" w:after="160"/>
      </w:pPr>
      <w:r>
        <w:rPr>
          <w:rFonts w:ascii="Aptos Display" w:hAnsi="Aptos Display" w:eastAsia="Arial Unicode MS"/>
          <w:b/>
          <w:sz w:val="34"/>
        </w:rPr>
        <w:t>Questions 2.14 to 2.20  Prediction Intervals</w:t>
      </w:r>
    </w:p>
    <w:p>
      <w:pPr>
        <w:spacing w:after="100" w:line="269" w:lineRule="auto"/>
      </w:pPr>
      <w:r>
        <w:rPr>
          <w:rFonts w:ascii="Aptos" w:hAnsi="Aptos" w:eastAsia="Arial Unicode MS"/>
          <w:sz w:val="21"/>
        </w:rPr>
        <w:t>The macro team assumes that next month's market return will be 3%. Person D converts that market scenario into conditional factor-return forecasts and quantifies their uncertainty.</w:t>
      </w:r>
    </w:p>
    <w:p>
      <w:pPr>
        <w:pStyle w:val="Heading2"/>
      </w:pPr>
      <w:r>
        <w:rPr>
          <w:rFonts w:ascii="Aptos Display" w:hAnsi="Aptos Display" w:eastAsia="Arial Unicode MS"/>
          <w:b/>
          <w:sz w:val="26"/>
        </w:rPr>
        <w:t>Question 2.14  Expected Low Risk return</w:t>
      </w:r>
    </w:p>
    <w:p>
      <w:pPr>
        <w:spacing w:before="100" w:after="140"/>
        <w:jc w:val="center"/>
      </w:pPr>
      <m:oMathPara>
        <m:oMath>
          <m:r>
            <m:t>r̂new = α̂ + β̂xnew = 0.005727122 − 0.628556257(0.03) = −0.013129566</m:t>
          </m:r>
        </m:oMath>
      </m:oMathPara>
    </w:p>
    <w:p>
      <w:pPr>
        <w:spacing w:after="100" w:line="269" w:lineRule="auto"/>
      </w:pPr>
      <w:r>
        <w:rPr>
          <w:rFonts w:ascii="Aptos" w:hAnsi="Aptos" w:eastAsia="Arial Unicode MS"/>
          <w:sz w:val="21"/>
        </w:rPr>
        <w:t>The predicted Low Risk return is −1.313% when the market return is 3%.</w:t>
      </w:r>
    </w:p>
    <w:p>
      <w:pPr>
        <w:pStyle w:val="Heading2"/>
      </w:pPr>
      <w:r>
        <w:rPr>
          <w:rFonts w:ascii="Aptos Display" w:hAnsi="Aptos Display" w:eastAsia="Arial Unicode MS"/>
          <w:b/>
          <w:sz w:val="26"/>
        </w:rPr>
        <w:t>Question 2.15  Estimation error variance</w:t>
      </w:r>
    </w:p>
    <w:p>
      <w:pPr>
        <w:spacing w:before="100" w:after="140"/>
        <w:jc w:val="center"/>
      </w:pPr>
      <m:oMathPara>
        <m:oMath>
          <m:r>
            <m:t>Var̂(r̂new) = σ̂²[</m:t>
          </m:r>
          <m:f>
            <m:num>
              <m:r>
                <m:t>1</m:t>
              </m:r>
            </m:num>
            <m:den>
              <m:r>
                <m:t>n</m:t>
              </m:r>
            </m:den>
          </m:f>
          <m:r>
            <m:t> + </m:t>
          </m:r>
          <m:f>
            <m:num>
              <m:r>
                <m:t>(xnew−x̄)²</m:t>
              </m:r>
            </m:num>
            <m:den>
              <m:r>
                <m:t>Sxx</m:t>
              </m:r>
            </m:den>
          </m:f>
          <m:r>
            <m:t>] = 3.5763 × 10⁻⁶</m:t>
          </m:r>
        </m:oMath>
      </m:oMathPara>
    </w:p>
    <w:p>
      <w:pPr>
        <w:spacing w:after="100" w:line="269" w:lineRule="auto"/>
      </w:pPr>
      <w:r>
        <w:rPr>
          <w:rFonts w:ascii="Aptos" w:hAnsi="Aptos" w:eastAsia="Arial Unicode MS"/>
          <w:sz w:val="21"/>
        </w:rPr>
        <w:t>Its square root is 0.189 percentage points. This is uncertainty about the estimated conditional mean, not the full uncertainty of a single future return.</w:t>
      </w:r>
    </w:p>
    <w:p>
      <w:pPr>
        <w:pStyle w:val="Heading2"/>
      </w:pPr>
      <w:r>
        <w:rPr>
          <w:rFonts w:ascii="Aptos Display" w:hAnsi="Aptos Display" w:eastAsia="Arial Unicode MS"/>
          <w:b/>
          <w:sz w:val="26"/>
        </w:rPr>
        <w:t>Questions 2.16 to 2.18  Prediction standard errors</w:t>
      </w:r>
    </w:p>
    <w:p>
      <w:pPr>
        <w:spacing w:before="100" w:after="140"/>
        <w:jc w:val="center"/>
      </w:pPr>
      <m:oMathPara>
        <m:oMath>
          <m:r>
            <m:t>SEpred = √{σ̂²[1 + </m:t>
          </m:r>
          <m:f>
            <m:num>
              <m:r>
                <m:t>1</m:t>
              </m:r>
            </m:num>
            <m:den>
              <m:r>
                <m:t>n</m:t>
              </m:r>
            </m:den>
          </m:f>
          <m:r>
            <m:t> + </m:t>
          </m:r>
          <m:f>
            <m:num>
              <m:r>
                <m:t>(xnew−x̄)²</m:t>
              </m:r>
            </m:num>
            <m:den>
              <m:r>
                <m:t>Sxx</m:t>
              </m:r>
            </m:den>
          </m:f>
          <m:r>
            <m:t>]}</m:t>
          </m:r>
        </m:oMath>
      </m:oMathPara>
    </w:p>
    <w:p>
      <w:pPr>
        <w:spacing w:after="100" w:line="269" w:lineRule="auto"/>
      </w:pPr>
      <w:r>
        <w:rPr>
          <w:rFonts w:ascii="Aptos" w:hAnsi="Aptos" w:eastAsia="Arial Unicode MS"/>
          <w:sz w:val="21"/>
        </w:rPr>
        <w:t>Low Risk has a prediction standard error of 3.405%, while Profitability has 2.461%. Both use the same market observations and xnew, so the difference is driven mainly by the larger Low Risk residual variance.</w:t>
      </w:r>
    </w:p>
    <w:p>
      <w:pPr>
        <w:pStyle w:val="Heading2"/>
      </w:pPr>
      <w:r>
        <w:rPr>
          <w:rFonts w:ascii="Aptos Display" w:hAnsi="Aptos Display" w:eastAsia="Arial Unicode MS"/>
          <w:b/>
          <w:sz w:val="26"/>
        </w:rPr>
        <w:t>Question 2.19  Eighty percent prediction intervals</w:t>
      </w:r>
    </w:p>
    <w:p>
      <w:pPr>
        <w:spacing w:before="100" w:after="140"/>
        <w:jc w:val="center"/>
      </w:pPr>
      <m:oMathPara>
        <m:oMath>
          <m:r>
            <m:t>r̂new ± </m:t>
          </m:r>
          <m:sSub>
            <m:e>
              <m:r>
                <m:rPr>
                  <m:sty m:val="i"/>
                </m:rPr>
                <m:t>t</m:t>
              </m:r>
            </m:e>
            <m:sub>
              <m:r>
                <m:t>0.90,406</m:t>
              </m:r>
            </m:sub>
          </m:sSub>
          <m:r>
            <m:t>SEpred      where      </m:t>
          </m:r>
          <m:sSub>
            <m:e>
              <m:r>
                <m:rPr>
                  <m:sty m:val="i"/>
                </m:rPr>
                <m:t>t</m:t>
              </m:r>
            </m:e>
            <m:sub>
              <m:r>
                <m:t>0.90,406</m:t>
              </m:r>
            </m:sub>
          </m:sSub>
          <m:r>
            <m:t> = 1.28364</m:t>
          </m:r>
        </m:oMath>
      </m:oMathPara>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98"/>
        <w:gridCol w:w="2498"/>
        <w:gridCol w:w="2498"/>
        <w:gridCol w:w="2498"/>
      </w:tblGrid>
      <w:tr>
        <w:trPr>
          <w:tblHeader w:val="true"/>
        </w:trPr>
        <w:tc>
          <w:tcPr>
            <w:tcW w:type="dxa" w:w="1944"/>
            <w:shd w:fill="1F4E78"/>
            <w:vAlign w:val="center"/>
            <w:tcMar>
              <w:top w:w="100" w:type="dxa"/>
              <w:start w:w="110" w:type="dxa"/>
              <w:bottom w:w="100" w:type="dxa"/>
              <w:end w:w="110" w:type="dxa"/>
            </w:tcMar>
          </w:tcPr>
          <w:p>
            <w:pPr>
              <w:keepLines/>
              <w:jc w:val="center"/>
            </w:pPr>
            <w:r>
              <w:rPr>
                <w:rFonts w:ascii="Aptos" w:hAnsi="Aptos" w:eastAsia="Arial Unicode MS"/>
                <w:b/>
                <w:color w:val="FFFFFF"/>
                <w:sz w:val="18"/>
              </w:rPr>
              <w:t>Factor</w:t>
            </w:r>
          </w:p>
        </w:tc>
        <w:tc>
          <w:tcPr>
            <w:tcW w:type="dxa" w:w="2232"/>
            <w:shd w:fill="1F4E78"/>
            <w:vAlign w:val="center"/>
            <w:tcMar>
              <w:top w:w="100" w:type="dxa"/>
              <w:start w:w="110" w:type="dxa"/>
              <w:bottom w:w="100" w:type="dxa"/>
              <w:end w:w="110" w:type="dxa"/>
            </w:tcMar>
          </w:tcPr>
          <w:p>
            <w:pPr>
              <w:keepLines/>
              <w:jc w:val="center"/>
            </w:pPr>
            <w:r>
              <w:rPr>
                <w:rFonts w:ascii="Aptos" w:hAnsi="Aptos" w:eastAsia="Arial Unicode MS"/>
                <w:b/>
                <w:color w:val="FFFFFF"/>
                <w:sz w:val="18"/>
              </w:rPr>
              <w:t>Predicted return</w:t>
            </w:r>
          </w:p>
        </w:tc>
        <w:tc>
          <w:tcPr>
            <w:tcW w:type="dxa" w:w="2088"/>
            <w:shd w:fill="1F4E78"/>
            <w:vAlign w:val="center"/>
            <w:tcMar>
              <w:top w:w="100" w:type="dxa"/>
              <w:start w:w="110" w:type="dxa"/>
              <w:bottom w:w="100" w:type="dxa"/>
              <w:end w:w="110" w:type="dxa"/>
            </w:tcMar>
          </w:tcPr>
          <w:p>
            <w:pPr>
              <w:keepLines/>
              <w:jc w:val="center"/>
            </w:pPr>
            <w:r>
              <w:rPr>
                <w:rFonts w:ascii="Aptos" w:hAnsi="Aptos" w:eastAsia="Arial Unicode MS"/>
                <w:b/>
                <w:color w:val="FFFFFF"/>
                <w:sz w:val="18"/>
              </w:rPr>
              <w:t>Prediction SE</w:t>
            </w:r>
          </w:p>
        </w:tc>
        <w:tc>
          <w:tcPr>
            <w:tcW w:type="dxa" w:w="3096"/>
            <w:shd w:fill="1F4E78"/>
            <w:vAlign w:val="center"/>
            <w:tcMar>
              <w:top w:w="100" w:type="dxa"/>
              <w:start w:w="110" w:type="dxa"/>
              <w:bottom w:w="100" w:type="dxa"/>
              <w:end w:w="110" w:type="dxa"/>
            </w:tcMar>
          </w:tcPr>
          <w:p>
            <w:pPr>
              <w:keepLines/>
              <w:jc w:val="center"/>
            </w:pPr>
            <w:r>
              <w:rPr>
                <w:rFonts w:ascii="Aptos" w:hAnsi="Aptos" w:eastAsia="Arial Unicode MS"/>
                <w:b/>
                <w:color w:val="FFFFFF"/>
                <w:sz w:val="18"/>
              </w:rPr>
              <w:t>80% prediction interval</w:t>
            </w:r>
          </w:p>
        </w:tc>
      </w:tr>
      <w:tr>
        <w:tc>
          <w:tcPr>
            <w:tcW w:type="dxa" w:w="1944"/>
            <w:vAlign w:val="center"/>
            <w:tcMar>
              <w:top w:w="100" w:type="dxa"/>
              <w:start w:w="110" w:type="dxa"/>
              <w:bottom w:w="100" w:type="dxa"/>
              <w:end w:w="110" w:type="dxa"/>
            </w:tcMar>
          </w:tcPr>
          <w:p>
            <w:pPr>
              <w:keepLines/>
              <w:jc w:val="center"/>
            </w:pPr>
            <w:r>
              <w:rPr>
                <w:rFonts w:ascii="Aptos" w:hAnsi="Aptos" w:eastAsia="Arial Unicode MS"/>
                <w:sz w:val="18"/>
              </w:rPr>
              <w:t>Low Risk</w:t>
            </w:r>
          </w:p>
        </w:tc>
        <w:tc>
          <w:tcPr>
            <w:tcW w:type="dxa" w:w="2232"/>
            <w:vAlign w:val="center"/>
            <w:tcMar>
              <w:top w:w="100" w:type="dxa"/>
              <w:start w:w="110" w:type="dxa"/>
              <w:bottom w:w="100" w:type="dxa"/>
              <w:end w:w="110" w:type="dxa"/>
            </w:tcMar>
          </w:tcPr>
          <w:p>
            <w:pPr>
              <w:keepLines/>
              <w:jc w:val="center"/>
            </w:pPr>
            <w:r>
              <w:rPr>
                <w:rFonts w:ascii="Aptos" w:hAnsi="Aptos" w:eastAsia="Arial Unicode MS"/>
                <w:sz w:val="18"/>
              </w:rPr>
              <w:t>−1.313%</w:t>
            </w:r>
          </w:p>
        </w:tc>
        <w:tc>
          <w:tcPr>
            <w:tcW w:type="dxa" w:w="2088"/>
            <w:vAlign w:val="center"/>
            <w:tcMar>
              <w:top w:w="100" w:type="dxa"/>
              <w:start w:w="110" w:type="dxa"/>
              <w:bottom w:w="100" w:type="dxa"/>
              <w:end w:w="110" w:type="dxa"/>
            </w:tcMar>
          </w:tcPr>
          <w:p>
            <w:pPr>
              <w:keepLines/>
              <w:jc w:val="center"/>
            </w:pPr>
            <w:r>
              <w:rPr>
                <w:rFonts w:ascii="Aptos" w:hAnsi="Aptos" w:eastAsia="Arial Unicode MS"/>
                <w:sz w:val="18"/>
              </w:rPr>
              <w:t>3.405%</w:t>
            </w:r>
          </w:p>
        </w:tc>
        <w:tc>
          <w:tcPr>
            <w:tcW w:type="dxa" w:w="3096"/>
            <w:vAlign w:val="center"/>
            <w:tcMar>
              <w:top w:w="100" w:type="dxa"/>
              <w:start w:w="110" w:type="dxa"/>
              <w:bottom w:w="100" w:type="dxa"/>
              <w:end w:w="110" w:type="dxa"/>
            </w:tcMar>
          </w:tcPr>
          <w:p>
            <w:pPr>
              <w:keepLines/>
              <w:jc w:val="center"/>
            </w:pPr>
            <w:r>
              <w:rPr>
                <w:rFonts w:ascii="Aptos" w:hAnsi="Aptos" w:eastAsia="Arial Unicode MS"/>
                <w:sz w:val="18"/>
              </w:rPr>
              <w:t>[−5.683%, 3.057%]</w:t>
            </w:r>
          </w:p>
        </w:tc>
      </w:tr>
      <w:tr>
        <w:tc>
          <w:tcPr>
            <w:tcW w:type="dxa" w:w="1944"/>
            <w:vAlign w:val="center"/>
            <w:tcMar>
              <w:top w:w="100" w:type="dxa"/>
              <w:start w:w="110" w:type="dxa"/>
              <w:bottom w:w="100" w:type="dxa"/>
              <w:end w:w="110" w:type="dxa"/>
            </w:tcMar>
            <w:shd w:fill="EAF2F8"/>
          </w:tcPr>
          <w:p>
            <w:pPr>
              <w:keepLines/>
              <w:jc w:val="center"/>
            </w:pPr>
            <w:r>
              <w:rPr>
                <w:rFonts w:ascii="Aptos" w:hAnsi="Aptos" w:eastAsia="Arial Unicode MS"/>
                <w:sz w:val="18"/>
              </w:rPr>
              <w:t>Profitability</w:t>
            </w:r>
          </w:p>
        </w:tc>
        <w:tc>
          <w:tcPr>
            <w:tcW w:type="dxa" w:w="2232"/>
            <w:vAlign w:val="center"/>
            <w:tcMar>
              <w:top w:w="100" w:type="dxa"/>
              <w:start w:w="110" w:type="dxa"/>
              <w:bottom w:w="100" w:type="dxa"/>
              <w:end w:w="110" w:type="dxa"/>
            </w:tcMar>
            <w:shd w:fill="EAF2F8"/>
          </w:tcPr>
          <w:p>
            <w:pPr>
              <w:keepLines/>
              <w:jc w:val="center"/>
            </w:pPr>
            <w:r>
              <w:rPr>
                <w:rFonts w:ascii="Aptos" w:hAnsi="Aptos" w:eastAsia="Arial Unicode MS"/>
                <w:sz w:val="18"/>
              </w:rPr>
              <w:t>−0.150%</w:t>
            </w:r>
          </w:p>
        </w:tc>
        <w:tc>
          <w:tcPr>
            <w:tcW w:type="dxa" w:w="2088"/>
            <w:vAlign w:val="center"/>
            <w:tcMar>
              <w:top w:w="100" w:type="dxa"/>
              <w:start w:w="110" w:type="dxa"/>
              <w:bottom w:w="100" w:type="dxa"/>
              <w:end w:w="110" w:type="dxa"/>
            </w:tcMar>
            <w:shd w:fill="EAF2F8"/>
          </w:tcPr>
          <w:p>
            <w:pPr>
              <w:keepLines/>
              <w:jc w:val="center"/>
            </w:pPr>
            <w:r>
              <w:rPr>
                <w:rFonts w:ascii="Aptos" w:hAnsi="Aptos" w:eastAsia="Arial Unicode MS"/>
                <w:sz w:val="18"/>
              </w:rPr>
              <w:t>2.461%</w:t>
            </w:r>
          </w:p>
        </w:tc>
        <w:tc>
          <w:tcPr>
            <w:tcW w:type="dxa" w:w="3096"/>
            <w:vAlign w:val="center"/>
            <w:tcMar>
              <w:top w:w="100" w:type="dxa"/>
              <w:start w:w="110" w:type="dxa"/>
              <w:bottom w:w="100" w:type="dxa"/>
              <w:end w:w="110" w:type="dxa"/>
            </w:tcMar>
            <w:shd w:fill="EAF2F8"/>
          </w:tcPr>
          <w:p>
            <w:pPr>
              <w:keepLines/>
              <w:jc w:val="center"/>
            </w:pPr>
            <w:r>
              <w:rPr>
                <w:rFonts w:ascii="Aptos" w:hAnsi="Aptos" w:eastAsia="Arial Unicode MS"/>
                <w:sz w:val="18"/>
              </w:rPr>
              <w:t>[−3.309%, 3.010%]</w:t>
            </w:r>
          </w:p>
        </w:tc>
      </w:tr>
      <w:tr>
        <w:tc>
          <w:tcPr>
            <w:tcW w:type="dxa" w:w="1944"/>
            <w:vAlign w:val="center"/>
            <w:tcMar>
              <w:top w:w="100" w:type="dxa"/>
              <w:start w:w="110" w:type="dxa"/>
              <w:bottom w:w="100" w:type="dxa"/>
              <w:end w:w="110" w:type="dxa"/>
            </w:tcMar>
          </w:tcPr>
          <w:p>
            <w:pPr>
              <w:keepLines/>
              <w:jc w:val="center"/>
            </w:pPr>
            <w:r>
              <w:rPr>
                <w:rFonts w:ascii="Aptos" w:hAnsi="Aptos" w:eastAsia="Arial Unicode MS"/>
                <w:sz w:val="18"/>
              </w:rPr>
              <w:t>Size</w:t>
            </w:r>
          </w:p>
        </w:tc>
        <w:tc>
          <w:tcPr>
            <w:tcW w:type="dxa" w:w="2232"/>
            <w:vAlign w:val="center"/>
            <w:tcMar>
              <w:top w:w="100" w:type="dxa"/>
              <w:start w:w="110" w:type="dxa"/>
              <w:bottom w:w="100" w:type="dxa"/>
              <w:end w:w="110" w:type="dxa"/>
            </w:tcMar>
          </w:tcPr>
          <w:p>
            <w:pPr>
              <w:keepLines/>
              <w:jc w:val="center"/>
            </w:pPr>
            <w:r>
              <w:rPr>
                <w:rFonts w:ascii="Aptos" w:hAnsi="Aptos" w:eastAsia="Arial Unicode MS"/>
                <w:sz w:val="18"/>
              </w:rPr>
              <w:t>0.380%</w:t>
            </w:r>
          </w:p>
        </w:tc>
        <w:tc>
          <w:tcPr>
            <w:tcW w:type="dxa" w:w="2088"/>
            <w:vAlign w:val="center"/>
            <w:tcMar>
              <w:top w:w="100" w:type="dxa"/>
              <w:start w:w="110" w:type="dxa"/>
              <w:bottom w:w="100" w:type="dxa"/>
              <w:end w:w="110" w:type="dxa"/>
            </w:tcMar>
          </w:tcPr>
          <w:p>
            <w:pPr>
              <w:keepLines/>
              <w:jc w:val="center"/>
            </w:pPr>
            <w:r>
              <w:rPr>
                <w:rFonts w:ascii="Aptos" w:hAnsi="Aptos" w:eastAsia="Arial Unicode MS"/>
                <w:sz w:val="18"/>
              </w:rPr>
              <w:t>2.231%</w:t>
            </w:r>
          </w:p>
        </w:tc>
        <w:tc>
          <w:tcPr>
            <w:tcW w:type="dxa" w:w="3096"/>
            <w:vAlign w:val="center"/>
            <w:tcMar>
              <w:top w:w="100" w:type="dxa"/>
              <w:start w:w="110" w:type="dxa"/>
              <w:bottom w:w="100" w:type="dxa"/>
              <w:end w:w="110" w:type="dxa"/>
            </w:tcMar>
          </w:tcPr>
          <w:p>
            <w:pPr>
              <w:keepLines/>
              <w:jc w:val="center"/>
            </w:pPr>
            <w:r>
              <w:rPr>
                <w:rFonts w:ascii="Aptos" w:hAnsi="Aptos" w:eastAsia="Arial Unicode MS"/>
                <w:sz w:val="18"/>
              </w:rPr>
              <w:t>[−2.484%, 3.244%]</w:t>
            </w:r>
          </w:p>
        </w:tc>
      </w:tr>
    </w:tbl>
    <w:p>
      <w:pPr>
        <w:pStyle w:val="Heading2"/>
      </w:pPr>
      <w:r>
        <w:rPr>
          <w:rFonts w:ascii="Aptos Display" w:hAnsi="Aptos Display" w:eastAsia="Arial Unicode MS"/>
          <w:b/>
          <w:sz w:val="26"/>
        </w:rPr>
        <w:t>Question 2.20  Portfolio use</w:t>
      </w:r>
    </w:p>
    <w:p>
      <w:pPr>
        <w:spacing w:after="100" w:line="269" w:lineRule="auto"/>
      </w:pPr>
      <w:r>
        <w:rPr>
          <w:rFonts w:ascii="Aptos" w:hAnsi="Aptos" w:eastAsia="Arial Unicode MS"/>
          <w:sz w:val="21"/>
        </w:rPr>
        <w:t>The hedge fund can use these intervals to compare downside exposure, size positions, and impose risk limits conditional on its market view. Every interval includes zero, so a correct 3% market forecast does not by itself determine the sign of any factor's next-month return. Low Risk has the widest interval and therefore the greatest residual uncertainty.</w:t>
      </w:r>
    </w:p>
    <w:p>
      <w:r>
        <w:br w:type="page"/>
      </w:r>
    </w:p>
    <w:p>
      <w:pPr>
        <w:pStyle w:val="Heading1"/>
        <w:spacing w:before="280" w:after="160"/>
      </w:pPr>
      <w:r>
        <w:rPr>
          <w:rFonts w:ascii="Aptos Display" w:hAnsi="Aptos Display" w:eastAsia="Arial Unicode MS"/>
          <w:b/>
          <w:sz w:val="34"/>
        </w:rPr>
        <w:t>How the Sections Fit Together</w:t>
      </w:r>
    </w:p>
    <w:p>
      <w:pPr>
        <w:spacing w:after="100" w:line="269" w:lineRule="auto"/>
      </w:pPr>
      <w:r>
        <w:rPr>
          <w:rFonts w:ascii="Aptos" w:hAnsi="Aptos" w:eastAsia="Arial Unicode MS"/>
          <w:sz w:val="21"/>
        </w:rPr>
        <w:t>Person B supplies the regression coefficients and residual variances used by both later sections. Person C uses them for inference about fixed parameters. Person D uses them to predict a future random return. Person D does not need Person C's hypothesis tests or confidence intervals.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1944"/>
            <w:shd w:fill="404040"/>
            <w:vAlign w:val="center"/>
            <w:tcMar>
              <w:top w:w="100" w:type="dxa"/>
              <w:start w:w="110" w:type="dxa"/>
              <w:bottom w:w="100" w:type="dxa"/>
              <w:end w:w="110" w:type="dxa"/>
            </w:tcMar>
          </w:tcPr>
          <w:p>
            <w:pPr>
              <w:keepLines/>
              <w:jc w:val="center"/>
            </w:pPr>
            <w:r>
              <w:rPr>
                <w:rFonts w:ascii="Aptos" w:hAnsi="Aptos" w:eastAsia="Arial Unicode MS"/>
                <w:b/>
                <w:color w:val="FFFFFF"/>
                <w:sz w:val="18"/>
              </w:rPr>
              <w:t>Section</w:t>
            </w:r>
          </w:p>
        </w:tc>
        <w:tc>
          <w:tcPr>
            <w:tcW w:type="dxa" w:w="3096"/>
            <w:shd w:fill="404040"/>
            <w:vAlign w:val="center"/>
            <w:tcMar>
              <w:top w:w="100" w:type="dxa"/>
              <w:start w:w="110" w:type="dxa"/>
              <w:bottom w:w="100" w:type="dxa"/>
              <w:end w:w="110" w:type="dxa"/>
            </w:tcMar>
          </w:tcPr>
          <w:p>
            <w:pPr>
              <w:keepLines/>
              <w:jc w:val="center"/>
            </w:pPr>
            <w:r>
              <w:rPr>
                <w:rFonts w:ascii="Aptos" w:hAnsi="Aptos" w:eastAsia="Arial Unicode MS"/>
                <w:b/>
                <w:color w:val="FFFFFF"/>
                <w:sz w:val="18"/>
              </w:rPr>
              <w:t>Question answered</w:t>
            </w:r>
          </w:p>
        </w:tc>
        <w:tc>
          <w:tcPr>
            <w:tcW w:type="dxa" w:w="4536"/>
            <w:shd w:fill="404040"/>
            <w:vAlign w:val="center"/>
            <w:tcMar>
              <w:top w:w="100" w:type="dxa"/>
              <w:start w:w="110" w:type="dxa"/>
              <w:bottom w:w="100" w:type="dxa"/>
              <w:end w:w="110" w:type="dxa"/>
            </w:tcMar>
          </w:tcPr>
          <w:p>
            <w:pPr>
              <w:keepLines/>
              <w:jc w:val="center"/>
            </w:pPr>
            <w:r>
              <w:rPr>
                <w:rFonts w:ascii="Aptos" w:hAnsi="Aptos" w:eastAsia="Arial Unicode MS"/>
                <w:b/>
                <w:color w:val="FFFFFF"/>
                <w:sz w:val="18"/>
              </w:rPr>
              <w:t>Output passed forward</w:t>
            </w:r>
          </w:p>
        </w:tc>
      </w:tr>
      <w:tr>
        <w:tc>
          <w:tcPr>
            <w:tcW w:type="dxa" w:w="1944"/>
            <w:vAlign w:val="center"/>
            <w:tcMar>
              <w:top w:w="100" w:type="dxa"/>
              <w:start w:w="110" w:type="dxa"/>
              <w:bottom w:w="100" w:type="dxa"/>
              <w:end w:w="110" w:type="dxa"/>
            </w:tcMar>
          </w:tcPr>
          <w:p>
            <w:pPr>
              <w:keepLines/>
              <w:jc w:val="center"/>
            </w:pPr>
            <w:r>
              <w:rPr>
                <w:rFonts w:ascii="Aptos" w:hAnsi="Aptos" w:eastAsia="Arial Unicode MS"/>
                <w:sz w:val="18"/>
              </w:rPr>
              <w:t>Problem 1</w:t>
            </w:r>
          </w:p>
        </w:tc>
        <w:tc>
          <w:tcPr>
            <w:tcW w:type="dxa" w:w="3096"/>
            <w:vAlign w:val="center"/>
            <w:tcMar>
              <w:top w:w="100" w:type="dxa"/>
              <w:start w:w="110" w:type="dxa"/>
              <w:bottom w:w="100" w:type="dxa"/>
              <w:end w:w="110" w:type="dxa"/>
            </w:tcMar>
          </w:tcPr>
          <w:p>
            <w:pPr>
              <w:keepLines/>
              <w:jc w:val="left"/>
            </w:pPr>
            <w:r>
              <w:rPr>
                <w:rFonts w:ascii="Aptos" w:hAnsi="Aptos" w:eastAsia="Arial Unicode MS"/>
                <w:sz w:val="18"/>
              </w:rPr>
              <w:t>How does OLS behave across repeated samples?</w:t>
            </w:r>
          </w:p>
        </w:tc>
        <w:tc>
          <w:tcPr>
            <w:tcW w:type="dxa" w:w="4536"/>
            <w:vAlign w:val="center"/>
            <w:tcMar>
              <w:top w:w="100" w:type="dxa"/>
              <w:start w:w="110" w:type="dxa"/>
              <w:bottom w:w="100" w:type="dxa"/>
              <w:end w:w="110" w:type="dxa"/>
            </w:tcMar>
          </w:tcPr>
          <w:p>
            <w:pPr>
              <w:keepLines/>
              <w:jc w:val="left"/>
            </w:pPr>
            <w:r>
              <w:rPr>
                <w:rFonts w:ascii="Aptos" w:hAnsi="Aptos" w:eastAsia="Arial Unicode MS"/>
                <w:sz w:val="18"/>
              </w:rPr>
              <w:t>Conceptual foundation</w:t>
            </w:r>
          </w:p>
        </w:tc>
      </w:tr>
      <w:tr>
        <w:tc>
          <w:tcPr>
            <w:tcW w:type="dxa" w:w="1944"/>
            <w:vAlign w:val="center"/>
            <w:tcMar>
              <w:top w:w="100" w:type="dxa"/>
              <w:start w:w="110" w:type="dxa"/>
              <w:bottom w:w="100" w:type="dxa"/>
              <w:end w:w="110" w:type="dxa"/>
            </w:tcMar>
            <w:shd w:fill="F2F2F2"/>
          </w:tcPr>
          <w:p>
            <w:pPr>
              <w:keepLines/>
              <w:jc w:val="center"/>
            </w:pPr>
            <w:r>
              <w:rPr>
                <w:rFonts w:ascii="Aptos" w:hAnsi="Aptos" w:eastAsia="Arial Unicode MS"/>
                <w:sz w:val="18"/>
              </w:rPr>
              <w:t>2.1 to 2.6</w:t>
            </w:r>
          </w:p>
        </w:tc>
        <w:tc>
          <w:tcPr>
            <w:tcW w:type="dxa" w:w="3096"/>
            <w:vAlign w:val="center"/>
            <w:tcMar>
              <w:top w:w="100" w:type="dxa"/>
              <w:start w:w="110" w:type="dxa"/>
              <w:bottom w:w="100" w:type="dxa"/>
              <w:end w:w="110" w:type="dxa"/>
            </w:tcMar>
            <w:shd w:fill="F2F2F2"/>
          </w:tcPr>
          <w:p>
            <w:pPr>
              <w:keepLines/>
              <w:jc w:val="left"/>
            </w:pPr>
            <w:r>
              <w:rPr>
                <w:rFonts w:ascii="Aptos" w:hAnsi="Aptos" w:eastAsia="Arial Unicode MS"/>
                <w:sz w:val="18"/>
              </w:rPr>
              <w:t>What CAPM relationship is estimated in the data?</w:t>
            </w:r>
          </w:p>
        </w:tc>
        <w:tc>
          <w:tcPr>
            <w:tcW w:type="dxa" w:w="4536"/>
            <w:vAlign w:val="center"/>
            <w:tcMar>
              <w:top w:w="100" w:type="dxa"/>
              <w:start w:w="110" w:type="dxa"/>
              <w:bottom w:w="100" w:type="dxa"/>
              <w:end w:w="110" w:type="dxa"/>
            </w:tcMar>
            <w:shd w:fill="F2F2F2"/>
          </w:tcPr>
          <w:p>
            <w:pPr>
              <w:keepLines/>
              <w:jc w:val="left"/>
            </w:pPr>
            <w:r>
              <w:rPr>
                <w:rFonts w:ascii="Aptos" w:hAnsi="Aptos" w:eastAsia="Arial Unicode MS"/>
                <w:sz w:val="18"/>
              </w:rPr>
              <w:t>Coefficients and residual variance</w:t>
            </w:r>
          </w:p>
        </w:tc>
      </w:tr>
      <w:tr>
        <w:tc>
          <w:tcPr>
            <w:tcW w:type="dxa" w:w="1944"/>
            <w:vAlign w:val="center"/>
            <w:tcMar>
              <w:top w:w="100" w:type="dxa"/>
              <w:start w:w="110" w:type="dxa"/>
              <w:bottom w:w="100" w:type="dxa"/>
              <w:end w:w="110" w:type="dxa"/>
            </w:tcMar>
          </w:tcPr>
          <w:p>
            <w:pPr>
              <w:keepLines/>
              <w:jc w:val="center"/>
            </w:pPr>
            <w:r>
              <w:rPr>
                <w:rFonts w:ascii="Aptos" w:hAnsi="Aptos" w:eastAsia="Arial Unicode MS"/>
                <w:sz w:val="18"/>
              </w:rPr>
              <w:t>2.7 to 2.13</w:t>
            </w:r>
          </w:p>
        </w:tc>
        <w:tc>
          <w:tcPr>
            <w:tcW w:type="dxa" w:w="3096"/>
            <w:vAlign w:val="center"/>
            <w:tcMar>
              <w:top w:w="100" w:type="dxa"/>
              <w:start w:w="110" w:type="dxa"/>
              <w:bottom w:w="100" w:type="dxa"/>
              <w:end w:w="110" w:type="dxa"/>
            </w:tcMar>
          </w:tcPr>
          <w:p>
            <w:pPr>
              <w:keepLines/>
              <w:jc w:val="left"/>
            </w:pPr>
            <w:r>
              <w:rPr>
                <w:rFonts w:ascii="Aptos" w:hAnsi="Aptos" w:eastAsia="Arial Unicode MS"/>
                <w:sz w:val="18"/>
              </w:rPr>
              <w:t>What can we infer about fixed CAPM parameters?</w:t>
            </w:r>
          </w:p>
        </w:tc>
        <w:tc>
          <w:tcPr>
            <w:tcW w:type="dxa" w:w="4536"/>
            <w:vAlign w:val="center"/>
            <w:tcMar>
              <w:top w:w="100" w:type="dxa"/>
              <w:start w:w="110" w:type="dxa"/>
              <w:bottom w:w="100" w:type="dxa"/>
              <w:end w:w="110" w:type="dxa"/>
            </w:tcMar>
          </w:tcPr>
          <w:p>
            <w:pPr>
              <w:keepLines/>
              <w:jc w:val="left"/>
            </w:pPr>
            <w:r>
              <w:rPr>
                <w:rFonts w:ascii="Aptos" w:hAnsi="Aptos" w:eastAsia="Arial Unicode MS"/>
                <w:sz w:val="18"/>
              </w:rPr>
              <w:t>Tests and confidence intervals</w:t>
            </w:r>
          </w:p>
        </w:tc>
      </w:tr>
      <w:tr>
        <w:tc>
          <w:tcPr>
            <w:tcW w:type="dxa" w:w="1944"/>
            <w:vAlign w:val="center"/>
            <w:tcMar>
              <w:top w:w="100" w:type="dxa"/>
              <w:start w:w="110" w:type="dxa"/>
              <w:bottom w:w="100" w:type="dxa"/>
              <w:end w:w="110" w:type="dxa"/>
            </w:tcMar>
            <w:shd w:fill="F2F2F2"/>
          </w:tcPr>
          <w:p>
            <w:pPr>
              <w:keepLines/>
              <w:jc w:val="center"/>
            </w:pPr>
            <w:r>
              <w:rPr>
                <w:rFonts w:ascii="Aptos" w:hAnsi="Aptos" w:eastAsia="Arial Unicode MS"/>
                <w:sz w:val="18"/>
              </w:rPr>
              <w:t>2.14 to 2.20</w:t>
            </w:r>
          </w:p>
        </w:tc>
        <w:tc>
          <w:tcPr>
            <w:tcW w:type="dxa" w:w="3096"/>
            <w:vAlign w:val="center"/>
            <w:tcMar>
              <w:top w:w="100" w:type="dxa"/>
              <w:start w:w="110" w:type="dxa"/>
              <w:bottom w:w="100" w:type="dxa"/>
              <w:end w:w="110" w:type="dxa"/>
            </w:tcMar>
            <w:shd w:fill="F2F2F2"/>
          </w:tcPr>
          <w:p>
            <w:pPr>
              <w:keepLines/>
              <w:jc w:val="left"/>
            </w:pPr>
            <w:r>
              <w:rPr>
                <w:rFonts w:ascii="Aptos" w:hAnsi="Aptos" w:eastAsia="Arial Unicode MS"/>
                <w:sz w:val="18"/>
              </w:rPr>
              <w:t>What future factor returns are plausible if the market earns 3%?</w:t>
            </w:r>
          </w:p>
        </w:tc>
        <w:tc>
          <w:tcPr>
            <w:tcW w:type="dxa" w:w="4536"/>
            <w:vAlign w:val="center"/>
            <w:tcMar>
              <w:top w:w="100" w:type="dxa"/>
              <w:start w:w="110" w:type="dxa"/>
              <w:bottom w:w="100" w:type="dxa"/>
              <w:end w:w="110" w:type="dxa"/>
            </w:tcMar>
            <w:shd w:fill="F2F2F2"/>
          </w:tcPr>
          <w:p>
            <w:pPr>
              <w:keepLines/>
              <w:jc w:val="left"/>
            </w:pPr>
            <w:r>
              <w:rPr>
                <w:rFonts w:ascii="Aptos" w:hAnsi="Aptos" w:eastAsia="Arial Unicode MS"/>
                <w:sz w:val="18"/>
              </w:rPr>
              <w:t>Predictions and prediction intervals</w:t>
            </w:r>
          </w:p>
        </w:tc>
      </w:tr>
    </w:tbl>
    <w:p>
      <w:pPr>
        <w:pStyle w:val="Heading2"/>
      </w:pPr>
      <w:r>
        <w:rPr>
          <w:rFonts w:ascii="Aptos Display" w:hAnsi="Aptos Display" w:eastAsia="Arial Unicode MS"/>
          <w:b/>
          <w:sz w:val="26"/>
        </w:rPr>
        <w:t>Final Distinction</w:t>
      </w:r>
    </w:p>
    <w:p>
      <w:pPr>
        <w:spacing w:after="100" w:line="269" w:lineRule="auto"/>
      </w:pPr>
      <w:r>
        <w:rPr>
          <w:rFonts w:ascii="Aptos" w:hAnsi="Aptos" w:eastAsia="Arial Unicode MS"/>
          <w:sz w:val="21"/>
        </w:rPr>
        <w:t>A confidence interval describes uncertainty about a fixed but unknown parameter or conditional mean. A prediction interval describes uncertainty about a future observation and therefore also includes future residual noise. This is why prediction intervals are much wider.</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rial Unicode MS"/>
        <w:color w:val="5A5A5A"/>
        <w:sz w:val="17"/>
      </w:rPr>
      <w:t xml:space="preserve">PS2 Project Guide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rial Unicode MS"/>
        <w:color w:val="5A5A5A"/>
        <w:sz w:val="17"/>
      </w:rPr>
      <w:t>MGT 924 Statistical Foundations  Problem Set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rial Unicode M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rial Unicode M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rial Unicode M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rial Unicode M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eastAsia="Arial Unicode M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