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Neste relatório, receita significa valor transacionado, o preço dos itens somado ao frete. Não é a receita líquida nem a comissão da Olist, que a base não informa.</w:t>
      </w:r>
    </w:p>
    <w:p>
      <w:pPr>
        <w:spacing w:after="160" w:line="300"/>
        <w:jc w:val="both"/>
      </w:pPr>
      <w:r>
        <w:rPr>
          <w:rFonts w:ascii="Calibri" w:cs="Calibri" w:eastAsia="Calibri" w:hAnsi="Calibri"/>
          <w:color w:val="444444"/>
          <w:sz w:val="22"/>
          <w:szCs w:val="22"/>
        </w:rPr>
        <w:t xml:space="preserve">A Olist transacionou R$ 15,68 milhões em 97.905 pedidos entre janeiro de 2017 e agosto de 2018. O valor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a média mensal recua 2,6% de janeiro-abril para maio-julho. Projetar o ritmo passado para frente seria o erro mais custoso possível com estes dados.</w:t>
      </w:r>
    </w:p>
    <w:p>
      <w:pPr>
        <w:spacing w:after="160" w:line="300"/>
        <w:jc w:val="both"/>
      </w:pPr>
      <w:r>
        <w:rPr>
          <w:rFonts w:ascii="Calibri" w:cs="Calibri" w:eastAsia="Calibri" w:hAnsi="Calibri"/>
          <w:color w:val="444444"/>
          <w:sz w:val="22"/>
          <w:szCs w:val="22"/>
        </w:rPr>
        <w:t xml:space="preserve">A causa da estabilização foi identificada. Entre janeiro e julho de 2018 a base de vendedores ativos cresceu 28,6%, enquanto o número de clientes recuou 12,9% e o valor por vendedor caiu 26,6%.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 As recomendações priorizadas estão na seção 7.</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transacionado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de jan-abr para mai-jul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1.245 (+28,6%)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6.172 (-12,9%)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R$ 835 (-26,6%)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e vendedor.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A ponta final também foi verificada. Agosto de 2018 tem coleta apenas até o dia 29, e os últimos seis dias já vêm decaindo, contra uma média de 264 pedidos por dia nas três primeiras semanas. Falta perto de um quarto do mês. Agosto foi mantido no recorte por conter três semanas de venda real, ao contrário dos meses de 2016 que foram excluídos, mas não é utilizado como ponto final de comparação: as variações de 2018 apresentadas neste relatório usam janeiro e julho, os dois meses fechados que delimitam o ano na base.</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Considerando apenas meses fechados, a média mensal recua de R$ 1,10 milhão em janeiro-abril para R$ 1,07 milhão em maio-julho, uma queda de 2,6%. O último ponto da série está abaixo do patamar real porque agosto está incompleto.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plataforma absorveu o volume, mas com custo: os pedidos feitos naquele fim de semana atrasaram em 18,3% dos casos, contra 6,8% na média do período, o que indica que a operação opera perto do limite em data promocional.</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Julho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1.245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6.172</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R$ 835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-26,6%</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mais de um quarto em sete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dos cinco estados líderes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dos cinco estados líderes,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pStyle w:val="ListParagraph"/>
        <w:numPr>
          <w:ilvl w:val="0"/>
          <w:numId w:val="1"/>
        </w:numPr>
        <w:spacing w:after="110" w:line="300"/>
        <w:jc w:val="both"/>
      </w:pPr>
      <w:r>
        <w:rPr>
          <w:rFonts w:ascii="Calibri" w:cs="Calibri" w:eastAsia="Calibri" w:hAnsi="Calibri"/>
          <w:color w:val="444444"/>
          <w:sz w:val="22"/>
          <w:szCs w:val="22"/>
        </w:rPr>
        <w:t xml:space="preserve">Agosto de 2018 entra na média com o mês incompleto, o que puxa a projeção para baixo e a torna conservadora.</w:t>
      </w:r>
    </w:p>
    <w:p>
      <w:pPr>
        <w:pStyle w:val="ListParagraph"/>
        <w:numPr>
          <w:ilvl w:val="0"/>
          <w:numId w:val="1"/>
        </w:numPr>
        <w:spacing w:after="110" w:line="300"/>
        <w:jc w:val="both"/>
      </w:pPr>
      <w:r>
        <w:rPr>
          <w:rFonts w:ascii="Calibri" w:cs="Calibri" w:eastAsia="Calibri" w:hAnsi="Calibri"/>
          <w:color w:val="444444"/>
          <w:sz w:val="22"/>
          <w:szCs w:val="22"/>
        </w:rPr>
        <w:t xml:space="preserve">Não foi aplicado modelo de tendência nem decomposição sazonal. O recorte tem vinte meses e um único novembro, e sem ao menos dois ciclos completos não há como estimar componente sazonal.</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ainda que com custo operacional visível: quem comprou no fim de semana da Black Friday esperou 16,9 dias contra 12,1 da média do período e sofreu atraso em 18,3% dos casos contra 6,8%, quase o triplo.</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dos cinco estados líderes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Não tratar o valor transacionado como receita da plataforma em nenhuma decisão de aporte. O que este relatório mede é o volume que passa pelo canal, e a remuneração da Olist é uma fração dele que a base não revela. Antes de qualquer avaliação de retorno, é preciso enriquecer a base com comissão, taxas e custo de aquisição.</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Essa correlação atribui o mesmo peso a cada estado, embora os volumes sejam muito diferentes. São Paulo registra 40.399 pedidos no período e Roraima registra 40. Ponderando pelo volume, a relação fica mais forte, em -0,86, de modo que o valor adotado no relatório é a leitura conservadora.</w:t>
      </w:r>
    </w:p>
    <w:p>
      <w:pPr>
        <w:spacing w:after="160" w:line="300"/>
        <w:jc w:val="both"/>
      </w:pPr>
      <w:r>
        <w:rPr>
          <w:rFonts w:ascii="Calibri" w:cs="Calibri" w:eastAsia="Calibri" w:hAnsi="Calibri"/>
          <w:color w:val="444444"/>
          <w:sz w:val="22"/>
          <w:szCs w:val="22"/>
        </w:rPr>
        <w:t xml:space="preserve">O tempo de entrega é medido da compra até o recebimento. Ele representa a espera do cliente e inclui o prazo de aprovação do pagamento, não apenas o transporte, o que deve ser considerado ao dimensionar ações sobre a operação logística.</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2026-08-31T00:59:03.679Z</dcterms:created>
  <dcterms:modified xsi:type="dcterms:W3CDTF">2026-08-31T00:59:03.680Z</dcterms:modified>
</cp:coreProperties>
</file>

<file path=docProps/custom.xml><?xml version="1.0" encoding="utf-8"?>
<Properties xmlns="http://schemas.openxmlformats.org/officeDocument/2006/custom-properties" xmlns:vt="http://schemas.openxmlformats.org/officeDocument/2006/docPropsVTypes"/>
</file>