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0D4CA" w14:textId="77777777" w:rsidR="00630F8E" w:rsidRPr="00423F12" w:rsidRDefault="00000000" w:rsidP="00423F12">
      <w:pPr>
        <w:pStyle w:val="Heading1"/>
        <w:rPr>
          <w:rFonts w:ascii="Times New Roman" w:hAnsi="Times New Roman" w:cs="Times New Roman"/>
          <w:color w:val="auto"/>
          <w:sz w:val="22"/>
          <w:szCs w:val="22"/>
        </w:rPr>
      </w:pPr>
      <w:bookmarkStart w:id="0" w:name="Xc248c01067b20f03114304e5a57422051561bab"/>
      <w:r w:rsidRPr="00423F12">
        <w:rPr>
          <w:rFonts w:ascii="Times New Roman" w:hAnsi="Times New Roman" w:cs="Times New Roman"/>
          <w:color w:val="auto"/>
          <w:sz w:val="22"/>
          <w:szCs w:val="22"/>
        </w:rPr>
        <w:t>Board Resolution: Secondary Liquidity Policy</w:t>
      </w:r>
    </w:p>
    <w:p w14:paraId="068009AD"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b/>
          <w:bCs/>
          <w:sz w:val="22"/>
          <w:szCs w:val="22"/>
        </w:rPr>
        <w:t>Template for Adoption of a Secondary Liquidity Program Authorizing SALE Transactions</w:t>
      </w:r>
    </w:p>
    <w:p w14:paraId="78FFDF7A" w14:textId="77777777" w:rsidR="00630F8E" w:rsidRPr="00423F12" w:rsidRDefault="00AF3390">
      <w:pPr>
        <w:rPr>
          <w:rFonts w:ascii="Times New Roman" w:hAnsi="Times New Roman" w:cs="Times New Roman"/>
          <w:sz w:val="22"/>
          <w:szCs w:val="22"/>
        </w:rPr>
      </w:pPr>
      <w:r w:rsidRPr="00AF3390">
        <w:rPr>
          <w:rFonts w:ascii="Times New Roman" w:hAnsi="Times New Roman" w:cs="Times New Roman"/>
          <w:noProof/>
          <w:sz w:val="22"/>
          <w:szCs w:val="22"/>
        </w:rPr>
        <w:pict w14:anchorId="4F1C5AB6">
          <v:rect id="_x0000_i1026" alt="" style="width:468pt;height:.05pt;mso-width-percent:0;mso-height-percent:0;mso-width-percent:0;mso-height-percent:0" o:hralign="center" o:hrstd="t" o:hr="t"/>
        </w:pict>
      </w:r>
    </w:p>
    <w:p w14:paraId="0B2D3CEA"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b/>
          <w:bCs/>
          <w:sz w:val="22"/>
          <w:szCs w:val="22"/>
        </w:rPr>
        <w:t>DISCLAIMER:</w:t>
      </w:r>
      <w:r w:rsidRPr="00423F12">
        <w:rPr>
          <w:rFonts w:ascii="Times New Roman" w:hAnsi="Times New Roman" w:cs="Times New Roman"/>
          <w:sz w:val="22"/>
          <w:szCs w:val="22"/>
        </w:rPr>
        <w:t xml:space="preserve"> This template is provided for informational and educational purposes only. It does not constitute legal advice and does not create an attorney-client relationship. Companies should consult their own counsel before adopting any board resolution. Originally authored by Evan J. Lonergan, 2026. Dedicated to the public domain under CC0 1.0 Universal.</w:t>
      </w:r>
    </w:p>
    <w:p w14:paraId="61869E91" w14:textId="77777777" w:rsidR="00630F8E" w:rsidRPr="00423F12" w:rsidRDefault="00AF3390">
      <w:pPr>
        <w:rPr>
          <w:rFonts w:ascii="Times New Roman" w:hAnsi="Times New Roman" w:cs="Times New Roman"/>
          <w:sz w:val="22"/>
          <w:szCs w:val="22"/>
        </w:rPr>
      </w:pPr>
      <w:r w:rsidRPr="00AF3390">
        <w:rPr>
          <w:rFonts w:ascii="Times New Roman" w:hAnsi="Times New Roman" w:cs="Times New Roman"/>
          <w:noProof/>
          <w:sz w:val="22"/>
          <w:szCs w:val="22"/>
        </w:rPr>
        <w:pict w14:anchorId="348A6CF9">
          <v:rect id="_x0000_i1025" alt="" style="width:468pt;height:.05pt;mso-width-percent:0;mso-height-percent:0;mso-width-percent:0;mso-height-percent:0" o:hralign="center" o:hrstd="t" o:hr="t"/>
        </w:pict>
      </w:r>
    </w:p>
    <w:p w14:paraId="2FC80A04" w14:textId="77777777" w:rsidR="00423F12" w:rsidRPr="00423F12" w:rsidRDefault="00423F12">
      <w:pPr>
        <w:pStyle w:val="Heading2"/>
        <w:rPr>
          <w:rFonts w:ascii="Times New Roman" w:hAnsi="Times New Roman" w:cs="Times New Roman"/>
          <w:color w:val="auto"/>
          <w:sz w:val="22"/>
          <w:szCs w:val="22"/>
        </w:rPr>
        <w:sectPr w:rsidR="00423F12" w:rsidRPr="00423F12">
          <w:footerReference w:type="even" r:id="rId7"/>
          <w:footerReference w:type="default" r:id="rId8"/>
          <w:pgSz w:w="12240" w:h="15840"/>
          <w:pgMar w:top="1440" w:right="1440" w:bottom="1440" w:left="1440" w:header="720" w:footer="720" w:gutter="0"/>
          <w:cols w:space="720"/>
        </w:sectPr>
      </w:pPr>
      <w:bookmarkStart w:id="1" w:name="Xa2ace4e6955f17809319f3b0cb069e50ed1f46e"/>
    </w:p>
    <w:p w14:paraId="047E1E69" w14:textId="77777777" w:rsidR="00630F8E" w:rsidRPr="00423F12" w:rsidRDefault="00000000" w:rsidP="00423F12">
      <w:pPr>
        <w:pStyle w:val="Heading2"/>
        <w:jc w:val="center"/>
        <w:rPr>
          <w:rFonts w:ascii="Times New Roman" w:hAnsi="Times New Roman" w:cs="Times New Roman"/>
          <w:color w:val="auto"/>
          <w:sz w:val="22"/>
          <w:szCs w:val="22"/>
        </w:rPr>
      </w:pPr>
      <w:r w:rsidRPr="00423F12">
        <w:rPr>
          <w:rFonts w:ascii="Times New Roman" w:hAnsi="Times New Roman" w:cs="Times New Roman"/>
          <w:color w:val="auto"/>
          <w:sz w:val="22"/>
          <w:szCs w:val="22"/>
        </w:rPr>
        <w:lastRenderedPageBreak/>
        <w:t>ACTION BY UNANIMOUS WRITTEN CONSENT OF THE BOARD OF DIRECTORS OF [COMPANY NAME], INC.</w:t>
      </w:r>
    </w:p>
    <w:p w14:paraId="75614DAD" w14:textId="77777777" w:rsidR="00630F8E" w:rsidRPr="00423F12" w:rsidRDefault="00000000" w:rsidP="008203BF">
      <w:pPr>
        <w:pStyle w:val="FirstParagraph"/>
        <w:ind w:firstLine="720"/>
        <w:jc w:val="both"/>
        <w:rPr>
          <w:rFonts w:ascii="Times New Roman" w:hAnsi="Times New Roman" w:cs="Times New Roman"/>
          <w:sz w:val="22"/>
          <w:szCs w:val="22"/>
        </w:rPr>
      </w:pPr>
      <w:r w:rsidRPr="00423F12">
        <w:rPr>
          <w:rFonts w:ascii="Times New Roman" w:hAnsi="Times New Roman" w:cs="Times New Roman"/>
          <w:sz w:val="22"/>
          <w:szCs w:val="22"/>
        </w:rPr>
        <w:t>The undersigned, constituting all of the members of the Board of Directors (the “</w:t>
      </w:r>
      <w:r w:rsidRPr="00423F12">
        <w:rPr>
          <w:rFonts w:ascii="Times New Roman" w:hAnsi="Times New Roman" w:cs="Times New Roman"/>
          <w:b/>
          <w:bCs/>
          <w:sz w:val="22"/>
          <w:szCs w:val="22"/>
        </w:rPr>
        <w:t>Board</w:t>
      </w:r>
      <w:r w:rsidRPr="00423F12">
        <w:rPr>
          <w:rFonts w:ascii="Times New Roman" w:hAnsi="Times New Roman" w:cs="Times New Roman"/>
          <w:sz w:val="22"/>
          <w:szCs w:val="22"/>
        </w:rPr>
        <w:t>”) of [COMPANY NAME], Inc., a Delaware corporation (the “</w:t>
      </w:r>
      <w:r w:rsidRPr="00423F12">
        <w:rPr>
          <w:rFonts w:ascii="Times New Roman" w:hAnsi="Times New Roman" w:cs="Times New Roman"/>
          <w:b/>
          <w:bCs/>
          <w:sz w:val="22"/>
          <w:szCs w:val="22"/>
        </w:rPr>
        <w:t>Company</w:t>
      </w:r>
      <w:r w:rsidRPr="00423F12">
        <w:rPr>
          <w:rFonts w:ascii="Times New Roman" w:hAnsi="Times New Roman" w:cs="Times New Roman"/>
          <w:sz w:val="22"/>
          <w:szCs w:val="22"/>
        </w:rPr>
        <w:t>”), acting pursuant to Section 141(f) of the Delaware General Corporation Law and the Company’s Bylaws, hereby adopt the following resolutions by unanimous written consent without a meeting, effective as of [DATE]:</w:t>
      </w:r>
    </w:p>
    <w:p w14:paraId="30EDD425" w14:textId="77777777" w:rsidR="00630F8E" w:rsidRPr="00423F12" w:rsidRDefault="00000000">
      <w:pPr>
        <w:pStyle w:val="Heading3"/>
        <w:rPr>
          <w:rFonts w:ascii="Times New Roman" w:hAnsi="Times New Roman" w:cs="Times New Roman"/>
          <w:color w:val="auto"/>
          <w:sz w:val="22"/>
          <w:szCs w:val="22"/>
        </w:rPr>
      </w:pPr>
      <w:bookmarkStart w:id="2" w:name="X986eb242832777dbc7384c98cbf9fbf3b2fade8"/>
      <w:r w:rsidRPr="00423F12">
        <w:rPr>
          <w:rFonts w:ascii="Times New Roman" w:hAnsi="Times New Roman" w:cs="Times New Roman"/>
          <w:color w:val="auto"/>
          <w:sz w:val="22"/>
          <w:szCs w:val="22"/>
        </w:rPr>
        <w:t>1. ESTABLISHMENT OF SECONDARY LIQUIDITY PROGRAM</w:t>
      </w:r>
    </w:p>
    <w:p w14:paraId="2EF0514E" w14:textId="77777777"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WHEREAS</w:t>
      </w:r>
      <w:r w:rsidRPr="00423F12">
        <w:rPr>
          <w:rFonts w:ascii="Times New Roman" w:hAnsi="Times New Roman" w:cs="Times New Roman"/>
          <w:sz w:val="22"/>
          <w:szCs w:val="22"/>
        </w:rPr>
        <w:t>, the Board acknowledges that due to extended private market timelines, Company stockholders (including current and former service providers and early-stage investors) may desire liquidity prior to a Company exit event;</w:t>
      </w:r>
    </w:p>
    <w:p w14:paraId="546BEA36" w14:textId="77777777" w:rsidR="00630F8E" w:rsidRPr="00423F12" w:rsidRDefault="00000000" w:rsidP="00423F12">
      <w:pPr>
        <w:pStyle w:val="BodyText"/>
        <w:jc w:val="both"/>
        <w:rPr>
          <w:rFonts w:ascii="Times New Roman" w:hAnsi="Times New Roman" w:cs="Times New Roman"/>
          <w:sz w:val="22"/>
          <w:szCs w:val="22"/>
        </w:rPr>
      </w:pPr>
      <w:r w:rsidRPr="00423F12">
        <w:rPr>
          <w:rFonts w:ascii="Times New Roman" w:hAnsi="Times New Roman" w:cs="Times New Roman"/>
          <w:b/>
          <w:bCs/>
          <w:sz w:val="22"/>
          <w:szCs w:val="22"/>
        </w:rPr>
        <w:t>WHEREAS</w:t>
      </w:r>
      <w:r w:rsidRPr="00423F12">
        <w:rPr>
          <w:rFonts w:ascii="Times New Roman" w:hAnsi="Times New Roman" w:cs="Times New Roman"/>
          <w:sz w:val="22"/>
          <w:szCs w:val="22"/>
        </w:rPr>
        <w:t>, the Board determines it is in the best interests of the Company to standardize the administration of such secondary transfers to ensure compliance with securities laws, protect the Company’s 409A valuation, maintain cap table hygiene, and minimize administrative burden;</w:t>
      </w:r>
    </w:p>
    <w:p w14:paraId="4FD6972E" w14:textId="1F0A139B" w:rsidR="00946F7E" w:rsidRPr="00423F12" w:rsidRDefault="00000000" w:rsidP="00423F12">
      <w:pPr>
        <w:pStyle w:val="BodyText"/>
        <w:jc w:val="both"/>
        <w:rPr>
          <w:rFonts w:ascii="Times New Roman" w:hAnsi="Times New Roman" w:cs="Times New Roman"/>
          <w:sz w:val="22"/>
          <w:szCs w:val="22"/>
        </w:rPr>
      </w:pPr>
      <w:r w:rsidRPr="00423F12">
        <w:rPr>
          <w:rFonts w:ascii="Times New Roman" w:hAnsi="Times New Roman" w:cs="Times New Roman"/>
          <w:b/>
          <w:bCs/>
          <w:sz w:val="22"/>
          <w:szCs w:val="22"/>
        </w:rPr>
        <w:t>WHEREAS</w:t>
      </w:r>
      <w:r w:rsidRPr="00423F12">
        <w:rPr>
          <w:rFonts w:ascii="Times New Roman" w:hAnsi="Times New Roman" w:cs="Times New Roman"/>
          <w:sz w:val="22"/>
          <w:szCs w:val="22"/>
        </w:rPr>
        <w:t>, the Board has reviewed the Simple Agreement for Liquidity Exit (the “</w:t>
      </w:r>
      <w:r w:rsidRPr="00423F12">
        <w:rPr>
          <w:rFonts w:ascii="Times New Roman" w:hAnsi="Times New Roman" w:cs="Times New Roman"/>
          <w:b/>
          <w:bCs/>
          <w:sz w:val="22"/>
          <w:szCs w:val="22"/>
        </w:rPr>
        <w:t>SALE</w:t>
      </w:r>
      <w:r w:rsidRPr="00423F12">
        <w:rPr>
          <w:rFonts w:ascii="Times New Roman" w:hAnsi="Times New Roman" w:cs="Times New Roman"/>
          <w:sz w:val="22"/>
          <w:szCs w:val="22"/>
        </w:rPr>
        <w:t>”), an open-source standardized instrument for secondary stock transfers available at</w:t>
      </w:r>
      <w:r w:rsidR="00946F7E">
        <w:rPr>
          <w:rFonts w:ascii="Times New Roman" w:hAnsi="Times New Roman" w:cs="Times New Roman"/>
          <w:sz w:val="22"/>
          <w:szCs w:val="22"/>
        </w:rPr>
        <w:t xml:space="preserve"> </w:t>
      </w:r>
      <w:r w:rsidRPr="00423F12">
        <w:rPr>
          <w:rFonts w:ascii="Times New Roman" w:hAnsi="Times New Roman" w:cs="Times New Roman"/>
          <w:sz w:val="22"/>
          <w:szCs w:val="22"/>
        </w:rPr>
        <w:t>simpleagreementforliquidity.com; an</w:t>
      </w:r>
      <w:r w:rsidR="00946F7E">
        <w:rPr>
          <w:rFonts w:ascii="Times New Roman" w:hAnsi="Times New Roman" w:cs="Times New Roman"/>
          <w:sz w:val="22"/>
          <w:szCs w:val="22"/>
        </w:rPr>
        <w:t>d</w:t>
      </w:r>
    </w:p>
    <w:p w14:paraId="1A134920" w14:textId="77777777" w:rsidR="00630F8E" w:rsidRPr="00423F12" w:rsidRDefault="00000000" w:rsidP="00423F12">
      <w:pPr>
        <w:pStyle w:val="BodyText"/>
        <w:jc w:val="both"/>
        <w:rPr>
          <w:rFonts w:ascii="Times New Roman" w:hAnsi="Times New Roman" w:cs="Times New Roman"/>
          <w:sz w:val="22"/>
          <w:szCs w:val="22"/>
        </w:rPr>
      </w:pPr>
      <w:r w:rsidRPr="00423F12">
        <w:rPr>
          <w:rFonts w:ascii="Times New Roman" w:hAnsi="Times New Roman" w:cs="Times New Roman"/>
          <w:b/>
          <w:bCs/>
          <w:sz w:val="22"/>
          <w:szCs w:val="22"/>
        </w:rPr>
        <w:t>WHEREAS</w:t>
      </w:r>
      <w:r w:rsidRPr="00423F12">
        <w:rPr>
          <w:rFonts w:ascii="Times New Roman" w:hAnsi="Times New Roman" w:cs="Times New Roman"/>
          <w:sz w:val="22"/>
          <w:szCs w:val="22"/>
        </w:rPr>
        <w:t>, the Board desires to adopt a policy to pre-approve certain secondary transfers conducted using the SALE, subject to the conditions set forth below.</w:t>
      </w:r>
    </w:p>
    <w:p w14:paraId="70E90466" w14:textId="77777777" w:rsidR="00630F8E" w:rsidRPr="00423F12" w:rsidRDefault="00000000" w:rsidP="00423F12">
      <w:pPr>
        <w:pStyle w:val="BodyText"/>
        <w:jc w:val="both"/>
        <w:rPr>
          <w:rFonts w:ascii="Times New Roman" w:hAnsi="Times New Roman" w:cs="Times New Roman"/>
          <w:sz w:val="22"/>
          <w:szCs w:val="22"/>
        </w:rPr>
      </w:pPr>
      <w:r w:rsidRPr="00423F12">
        <w:rPr>
          <w:rFonts w:ascii="Times New Roman" w:hAnsi="Times New Roman" w:cs="Times New Roman"/>
          <w:b/>
          <w:bCs/>
          <w:sz w:val="22"/>
          <w:szCs w:val="22"/>
        </w:rPr>
        <w:t>NOW, THEREFORE, BE IT RESOLVED</w:t>
      </w:r>
      <w:r w:rsidRPr="00423F12">
        <w:rPr>
          <w:rFonts w:ascii="Times New Roman" w:hAnsi="Times New Roman" w:cs="Times New Roman"/>
          <w:sz w:val="22"/>
          <w:szCs w:val="22"/>
        </w:rPr>
        <w:t>, that the Secondary Liquidity Program (the “</w:t>
      </w:r>
      <w:r w:rsidRPr="00423F12">
        <w:rPr>
          <w:rFonts w:ascii="Times New Roman" w:hAnsi="Times New Roman" w:cs="Times New Roman"/>
          <w:b/>
          <w:bCs/>
          <w:sz w:val="22"/>
          <w:szCs w:val="22"/>
        </w:rPr>
        <w:t>Program</w:t>
      </w:r>
      <w:r w:rsidRPr="00423F12">
        <w:rPr>
          <w:rFonts w:ascii="Times New Roman" w:hAnsi="Times New Roman" w:cs="Times New Roman"/>
          <w:sz w:val="22"/>
          <w:szCs w:val="22"/>
        </w:rPr>
        <w:t xml:space="preserve">”) is hereby established, subject to the Program Guidelines attached hereto as </w:t>
      </w:r>
      <w:r w:rsidRPr="00946F7E">
        <w:rPr>
          <w:rFonts w:ascii="Times New Roman" w:hAnsi="Times New Roman" w:cs="Times New Roman"/>
          <w:sz w:val="22"/>
          <w:szCs w:val="22"/>
          <w:u w:val="single"/>
        </w:rPr>
        <w:t>Exhibit A</w:t>
      </w:r>
      <w:r w:rsidRPr="00423F12">
        <w:rPr>
          <w:rFonts w:ascii="Times New Roman" w:hAnsi="Times New Roman" w:cs="Times New Roman"/>
          <w:sz w:val="22"/>
          <w:szCs w:val="22"/>
        </w:rPr>
        <w:t>.</w:t>
      </w:r>
    </w:p>
    <w:p w14:paraId="365AAA9A" w14:textId="77777777" w:rsidR="00630F8E" w:rsidRPr="00423F12" w:rsidRDefault="00000000">
      <w:pPr>
        <w:pStyle w:val="Heading3"/>
        <w:rPr>
          <w:rFonts w:ascii="Times New Roman" w:hAnsi="Times New Roman" w:cs="Times New Roman"/>
          <w:color w:val="auto"/>
          <w:sz w:val="22"/>
          <w:szCs w:val="22"/>
        </w:rPr>
      </w:pPr>
      <w:bookmarkStart w:id="3" w:name="approval-of-form-documents"/>
      <w:bookmarkEnd w:id="2"/>
      <w:r w:rsidRPr="00423F12">
        <w:rPr>
          <w:rFonts w:ascii="Times New Roman" w:hAnsi="Times New Roman" w:cs="Times New Roman"/>
          <w:color w:val="auto"/>
          <w:sz w:val="22"/>
          <w:szCs w:val="22"/>
        </w:rPr>
        <w:t>2. APPROVAL OF FORM DOCUMENTS</w:t>
      </w:r>
    </w:p>
    <w:p w14:paraId="4F4F9EDA" w14:textId="77777777"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RESOLVED</w:t>
      </w:r>
      <w:r w:rsidRPr="00423F12">
        <w:rPr>
          <w:rFonts w:ascii="Times New Roman" w:hAnsi="Times New Roman" w:cs="Times New Roman"/>
          <w:sz w:val="22"/>
          <w:szCs w:val="22"/>
        </w:rPr>
        <w:t xml:space="preserve">, that the form of Simple Agreement for Liquidity Exit (SALE), substantially in the form attached hereto as </w:t>
      </w:r>
      <w:r w:rsidRPr="00946F7E">
        <w:rPr>
          <w:rFonts w:ascii="Times New Roman" w:hAnsi="Times New Roman" w:cs="Times New Roman"/>
          <w:sz w:val="22"/>
          <w:szCs w:val="22"/>
          <w:u w:val="single"/>
        </w:rPr>
        <w:t>Exhibit B</w:t>
      </w:r>
      <w:r w:rsidRPr="00423F12">
        <w:rPr>
          <w:rFonts w:ascii="Times New Roman" w:hAnsi="Times New Roman" w:cs="Times New Roman"/>
          <w:sz w:val="22"/>
          <w:szCs w:val="22"/>
        </w:rPr>
        <w:t xml:space="preserve"> (the “</w:t>
      </w:r>
      <w:r w:rsidRPr="00946F7E">
        <w:rPr>
          <w:rFonts w:ascii="Times New Roman" w:hAnsi="Times New Roman" w:cs="Times New Roman"/>
          <w:b/>
          <w:bCs/>
          <w:sz w:val="22"/>
          <w:szCs w:val="22"/>
        </w:rPr>
        <w:t>Form SALE</w:t>
      </w:r>
      <w:r w:rsidRPr="00423F12">
        <w:rPr>
          <w:rFonts w:ascii="Times New Roman" w:hAnsi="Times New Roman" w:cs="Times New Roman"/>
          <w:sz w:val="22"/>
          <w:szCs w:val="22"/>
        </w:rPr>
        <w:t>”), is hereby approved for use in connection with transfers authorized under the Program.</w:t>
      </w:r>
    </w:p>
    <w:p w14:paraId="3C8DE0EB" w14:textId="77777777" w:rsidR="00630F8E" w:rsidRPr="00423F12" w:rsidRDefault="00000000">
      <w:pPr>
        <w:pStyle w:val="Heading3"/>
        <w:rPr>
          <w:rFonts w:ascii="Times New Roman" w:hAnsi="Times New Roman" w:cs="Times New Roman"/>
          <w:color w:val="auto"/>
          <w:sz w:val="22"/>
          <w:szCs w:val="22"/>
        </w:rPr>
      </w:pPr>
      <w:bookmarkStart w:id="4" w:name="delegation-of-authority"/>
      <w:bookmarkEnd w:id="3"/>
      <w:r w:rsidRPr="00423F12">
        <w:rPr>
          <w:rFonts w:ascii="Times New Roman" w:hAnsi="Times New Roman" w:cs="Times New Roman"/>
          <w:color w:val="auto"/>
          <w:sz w:val="22"/>
          <w:szCs w:val="22"/>
        </w:rPr>
        <w:t>3. DELEGATION OF AUTHORITY</w:t>
      </w:r>
    </w:p>
    <w:p w14:paraId="29FA7B67" w14:textId="77777777"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RESOLVED</w:t>
      </w:r>
      <w:r w:rsidRPr="00423F12">
        <w:rPr>
          <w:rFonts w:ascii="Times New Roman" w:hAnsi="Times New Roman" w:cs="Times New Roman"/>
          <w:sz w:val="22"/>
          <w:szCs w:val="22"/>
        </w:rPr>
        <w:t>, that the Company’s [Chief Executive Officer] and [Chief Financial Officer] (each, an “</w:t>
      </w:r>
      <w:r w:rsidRPr="00946F7E">
        <w:rPr>
          <w:rFonts w:ascii="Times New Roman" w:hAnsi="Times New Roman" w:cs="Times New Roman"/>
          <w:b/>
          <w:bCs/>
          <w:sz w:val="22"/>
          <w:szCs w:val="22"/>
        </w:rPr>
        <w:t>Authorized Officer</w:t>
      </w:r>
      <w:r w:rsidRPr="00423F12">
        <w:rPr>
          <w:rFonts w:ascii="Times New Roman" w:hAnsi="Times New Roman" w:cs="Times New Roman"/>
          <w:sz w:val="22"/>
          <w:szCs w:val="22"/>
        </w:rPr>
        <w:t>”) are hereby authorized and empowered, in their sole discretion, to administer the Program, including reviewing proposed SALEs, confirming compliance with the Program Guidelines, executing the Form SALE on behalf of the Company, and processing transfers.</w:t>
      </w:r>
    </w:p>
    <w:p w14:paraId="095CE4B4" w14:textId="77777777" w:rsidR="00630F8E" w:rsidRPr="00423F12" w:rsidRDefault="00000000">
      <w:pPr>
        <w:pStyle w:val="Heading3"/>
        <w:rPr>
          <w:rFonts w:ascii="Times New Roman" w:hAnsi="Times New Roman" w:cs="Times New Roman"/>
          <w:color w:val="auto"/>
          <w:sz w:val="22"/>
          <w:szCs w:val="22"/>
        </w:rPr>
      </w:pPr>
      <w:bookmarkStart w:id="5" w:name="waiver-of-rofr"/>
      <w:bookmarkEnd w:id="4"/>
      <w:r w:rsidRPr="00423F12">
        <w:rPr>
          <w:rFonts w:ascii="Times New Roman" w:hAnsi="Times New Roman" w:cs="Times New Roman"/>
          <w:color w:val="auto"/>
          <w:sz w:val="22"/>
          <w:szCs w:val="22"/>
        </w:rPr>
        <w:t>4. WAIVER OF ROFR</w:t>
      </w:r>
    </w:p>
    <w:p w14:paraId="4BBE8F67" w14:textId="77777777"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RESOLVED</w:t>
      </w:r>
      <w:r w:rsidRPr="00423F12">
        <w:rPr>
          <w:rFonts w:ascii="Times New Roman" w:hAnsi="Times New Roman" w:cs="Times New Roman"/>
          <w:sz w:val="22"/>
          <w:szCs w:val="22"/>
        </w:rPr>
        <w:t>, that subject to a transfer’s strict compliance with the Program Guidelines, the Board hereby waives any Right of First Refusal (ROFR) held by the Company pursuant to its Bylaws, Certificate of Incorporation, or any Company Agreement (as defined in the Form SALE) with respect to such transfer; provided, however, that the Authorized Officers shall ensure that any corresponding rights held by Major Investors (as defined in the Company’s Right of First Refusal and Co-Sale Agreement) have been waived or have lapsed prior to the closing of any such transfer.</w:t>
      </w:r>
    </w:p>
    <w:p w14:paraId="68903D3B" w14:textId="77777777" w:rsidR="00630F8E" w:rsidRPr="00423F12" w:rsidRDefault="00000000">
      <w:pPr>
        <w:pStyle w:val="Heading3"/>
        <w:rPr>
          <w:rFonts w:ascii="Times New Roman" w:hAnsi="Times New Roman" w:cs="Times New Roman"/>
          <w:color w:val="auto"/>
          <w:sz w:val="22"/>
          <w:szCs w:val="22"/>
        </w:rPr>
      </w:pPr>
      <w:bookmarkStart w:id="6" w:name="administrative-fee"/>
      <w:bookmarkEnd w:id="5"/>
      <w:r w:rsidRPr="00423F12">
        <w:rPr>
          <w:rFonts w:ascii="Times New Roman" w:hAnsi="Times New Roman" w:cs="Times New Roman"/>
          <w:color w:val="auto"/>
          <w:sz w:val="22"/>
          <w:szCs w:val="22"/>
        </w:rPr>
        <w:lastRenderedPageBreak/>
        <w:t>5. ADMINISTRATIVE FEE</w:t>
      </w:r>
    </w:p>
    <w:p w14:paraId="0089DFF9" w14:textId="77777777"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RESOLVED</w:t>
      </w:r>
      <w:r w:rsidRPr="00423F12">
        <w:rPr>
          <w:rFonts w:ascii="Times New Roman" w:hAnsi="Times New Roman" w:cs="Times New Roman"/>
          <w:sz w:val="22"/>
          <w:szCs w:val="22"/>
        </w:rPr>
        <w:t>, that the Authorized Officers are empowered to collect the administrative fee set forth in the Form SALE in connection with each transfer under the Program, and that such fees shall be applied to offset the Company’s legal and administrative costs of processing secondary transfers.</w:t>
      </w:r>
    </w:p>
    <w:p w14:paraId="4461F746" w14:textId="77777777" w:rsidR="00630F8E" w:rsidRPr="00423F12" w:rsidRDefault="00000000">
      <w:pPr>
        <w:pStyle w:val="Heading3"/>
        <w:rPr>
          <w:rFonts w:ascii="Times New Roman" w:hAnsi="Times New Roman" w:cs="Times New Roman"/>
          <w:color w:val="auto"/>
          <w:sz w:val="22"/>
          <w:szCs w:val="22"/>
        </w:rPr>
      </w:pPr>
      <w:bookmarkStart w:id="7" w:name="reporting"/>
      <w:bookmarkEnd w:id="6"/>
      <w:r w:rsidRPr="00423F12">
        <w:rPr>
          <w:rFonts w:ascii="Times New Roman" w:hAnsi="Times New Roman" w:cs="Times New Roman"/>
          <w:color w:val="auto"/>
          <w:sz w:val="22"/>
          <w:szCs w:val="22"/>
        </w:rPr>
        <w:t>6. REPORTING</w:t>
      </w:r>
    </w:p>
    <w:p w14:paraId="7D580B86" w14:textId="77777777"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RESOLVED</w:t>
      </w:r>
      <w:r w:rsidRPr="00423F12">
        <w:rPr>
          <w:rFonts w:ascii="Times New Roman" w:hAnsi="Times New Roman" w:cs="Times New Roman"/>
          <w:sz w:val="22"/>
          <w:szCs w:val="22"/>
        </w:rPr>
        <w:t>, that the Authorized Officers shall provide a summary of all SALE transactions to the Board on a [quarterly / annual] basis, including for each transaction: (i) the names of the Seller and Buyer, (ii) the number and class of shares transferred, (iii) the purchase price per share and aggregate purchase price, (iv) the discount applied, and (v) confirmation that all Program Guidelines were satisfied.</w:t>
      </w:r>
    </w:p>
    <w:p w14:paraId="35BF09D8" w14:textId="77777777" w:rsidR="00630F8E" w:rsidRPr="00423F12" w:rsidRDefault="00000000">
      <w:pPr>
        <w:pStyle w:val="Heading3"/>
        <w:rPr>
          <w:rFonts w:ascii="Times New Roman" w:hAnsi="Times New Roman" w:cs="Times New Roman"/>
          <w:color w:val="auto"/>
          <w:sz w:val="22"/>
          <w:szCs w:val="22"/>
        </w:rPr>
      </w:pPr>
      <w:bookmarkStart w:id="8" w:name="Xf24192b4941b2977c792c26c4178aa831702bf8"/>
      <w:bookmarkEnd w:id="7"/>
      <w:r w:rsidRPr="00423F12">
        <w:rPr>
          <w:rFonts w:ascii="Times New Roman" w:hAnsi="Times New Roman" w:cs="Times New Roman"/>
          <w:color w:val="auto"/>
          <w:sz w:val="22"/>
          <w:szCs w:val="22"/>
        </w:rPr>
        <w:t>7. TRANSACTIONS REQUIRING SEPARATE BOARD APPROVAL</w:t>
      </w:r>
    </w:p>
    <w:p w14:paraId="7CE9682D" w14:textId="54964010"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RESOLVED</w:t>
      </w:r>
      <w:r w:rsidRPr="00423F12">
        <w:rPr>
          <w:rFonts w:ascii="Times New Roman" w:hAnsi="Times New Roman" w:cs="Times New Roman"/>
          <w:sz w:val="22"/>
          <w:szCs w:val="22"/>
        </w:rPr>
        <w:t>, that any proposed secondary transfer that does not satisfy all of the conditions set forth in the Program Guidelines (</w:t>
      </w:r>
      <w:r w:rsidR="00946F7E">
        <w:rPr>
          <w:rFonts w:ascii="Times New Roman" w:hAnsi="Times New Roman" w:cs="Times New Roman"/>
          <w:sz w:val="22"/>
          <w:szCs w:val="22"/>
        </w:rPr>
        <w:t xml:space="preserve">as set forth on </w:t>
      </w:r>
      <w:r w:rsidRPr="00946F7E">
        <w:rPr>
          <w:rFonts w:ascii="Times New Roman" w:hAnsi="Times New Roman" w:cs="Times New Roman"/>
          <w:sz w:val="22"/>
          <w:szCs w:val="22"/>
          <w:u w:val="single"/>
        </w:rPr>
        <w:t>Exhibit A</w:t>
      </w:r>
      <w:r w:rsidRPr="00423F12">
        <w:rPr>
          <w:rFonts w:ascii="Times New Roman" w:hAnsi="Times New Roman" w:cs="Times New Roman"/>
          <w:sz w:val="22"/>
          <w:szCs w:val="22"/>
        </w:rPr>
        <w:t>)</w:t>
      </w:r>
      <w:r w:rsidR="00423F12">
        <w:rPr>
          <w:rFonts w:ascii="Times New Roman" w:hAnsi="Times New Roman" w:cs="Times New Roman"/>
          <w:sz w:val="22"/>
          <w:szCs w:val="22"/>
        </w:rPr>
        <w:t>,</w:t>
      </w:r>
      <w:r w:rsidRPr="00423F12">
        <w:rPr>
          <w:rFonts w:ascii="Times New Roman" w:hAnsi="Times New Roman" w:cs="Times New Roman"/>
          <w:sz w:val="22"/>
          <w:szCs w:val="22"/>
        </w:rPr>
        <w:t xml:space="preserve"> including any transaction that exceeds the per-transaction or volume limits, any transfer to a non-eligible Buyer, any transfer during a blackout period, or any transfer using a modified form of SALE</w:t>
      </w:r>
      <w:r w:rsidR="00423F12">
        <w:rPr>
          <w:rFonts w:ascii="Times New Roman" w:hAnsi="Times New Roman" w:cs="Times New Roman"/>
          <w:sz w:val="22"/>
          <w:szCs w:val="22"/>
        </w:rPr>
        <w:t>,</w:t>
      </w:r>
      <w:r w:rsidRPr="00423F12">
        <w:rPr>
          <w:rFonts w:ascii="Times New Roman" w:hAnsi="Times New Roman" w:cs="Times New Roman"/>
          <w:sz w:val="22"/>
          <w:szCs w:val="22"/>
        </w:rPr>
        <w:t xml:space="preserve"> shall require separate approval by the Board on a case-by-case basis.</w:t>
      </w:r>
    </w:p>
    <w:p w14:paraId="214E75D8" w14:textId="77777777" w:rsidR="00630F8E" w:rsidRPr="00423F12" w:rsidRDefault="00000000">
      <w:pPr>
        <w:pStyle w:val="Heading3"/>
        <w:rPr>
          <w:rFonts w:ascii="Times New Roman" w:hAnsi="Times New Roman" w:cs="Times New Roman"/>
          <w:color w:val="auto"/>
          <w:sz w:val="22"/>
          <w:szCs w:val="22"/>
        </w:rPr>
      </w:pPr>
      <w:bookmarkStart w:id="9" w:name="amendment-and-revocation"/>
      <w:bookmarkEnd w:id="8"/>
      <w:r w:rsidRPr="00423F12">
        <w:rPr>
          <w:rFonts w:ascii="Times New Roman" w:hAnsi="Times New Roman" w:cs="Times New Roman"/>
          <w:color w:val="auto"/>
          <w:sz w:val="22"/>
          <w:szCs w:val="22"/>
        </w:rPr>
        <w:t>8. AMENDMENT AND REVOCATION</w:t>
      </w:r>
    </w:p>
    <w:p w14:paraId="5A0B9DBC" w14:textId="77777777" w:rsidR="00630F8E" w:rsidRPr="00423F12" w:rsidRDefault="00000000" w:rsidP="00423F12">
      <w:pPr>
        <w:pStyle w:val="FirstParagraph"/>
        <w:jc w:val="both"/>
        <w:rPr>
          <w:rFonts w:ascii="Times New Roman" w:hAnsi="Times New Roman" w:cs="Times New Roman"/>
          <w:sz w:val="22"/>
          <w:szCs w:val="22"/>
        </w:rPr>
      </w:pPr>
      <w:r w:rsidRPr="00423F12">
        <w:rPr>
          <w:rFonts w:ascii="Times New Roman" w:hAnsi="Times New Roman" w:cs="Times New Roman"/>
          <w:b/>
          <w:bCs/>
          <w:sz w:val="22"/>
          <w:szCs w:val="22"/>
        </w:rPr>
        <w:t>RESOLVED</w:t>
      </w:r>
      <w:r w:rsidRPr="00423F12">
        <w:rPr>
          <w:rFonts w:ascii="Times New Roman" w:hAnsi="Times New Roman" w:cs="Times New Roman"/>
          <w:sz w:val="22"/>
          <w:szCs w:val="22"/>
        </w:rPr>
        <w:t>, that this Program and the Program Guidelines may be amended, modified, suspended, or revoked at any time by resolution of the Board.</w:t>
      </w:r>
    </w:p>
    <w:p w14:paraId="0AAF0CF7" w14:textId="77777777" w:rsidR="00630F8E" w:rsidRPr="00423F12" w:rsidRDefault="00000000" w:rsidP="00423F12">
      <w:pPr>
        <w:pStyle w:val="BodyText"/>
        <w:jc w:val="both"/>
        <w:rPr>
          <w:rFonts w:ascii="Times New Roman" w:hAnsi="Times New Roman" w:cs="Times New Roman"/>
          <w:sz w:val="22"/>
          <w:szCs w:val="22"/>
        </w:rPr>
      </w:pPr>
      <w:r w:rsidRPr="00423F12">
        <w:rPr>
          <w:rFonts w:ascii="Times New Roman" w:hAnsi="Times New Roman" w:cs="Times New Roman"/>
          <w:b/>
          <w:bCs/>
          <w:sz w:val="22"/>
          <w:szCs w:val="22"/>
        </w:rPr>
        <w:t>RESOLVED FURTHER</w:t>
      </w:r>
      <w:r w:rsidRPr="00423F12">
        <w:rPr>
          <w:rFonts w:ascii="Times New Roman" w:hAnsi="Times New Roman" w:cs="Times New Roman"/>
          <w:sz w:val="22"/>
          <w:szCs w:val="22"/>
        </w:rPr>
        <w:t>, that the officers of the Company are hereby authorized and directed to take any and all actions and to execute and deliver any and all documents and instruments as may be necessary or desirable to carry out the intent and purposes of the foregoing resolutions.</w:t>
      </w:r>
    </w:p>
    <w:p w14:paraId="21FC311F" w14:textId="77777777" w:rsidR="00423F12" w:rsidRPr="00423F12" w:rsidRDefault="00423F12">
      <w:pPr>
        <w:rPr>
          <w:rFonts w:ascii="Times New Roman" w:hAnsi="Times New Roman" w:cs="Times New Roman"/>
          <w:sz w:val="22"/>
          <w:szCs w:val="22"/>
        </w:rPr>
      </w:pPr>
    </w:p>
    <w:p w14:paraId="2CA83E61" w14:textId="77777777" w:rsidR="00946F7E" w:rsidRDefault="00423F12" w:rsidP="00423F12">
      <w:pPr>
        <w:pStyle w:val="FirstParagraph"/>
        <w:jc w:val="center"/>
        <w:rPr>
          <w:rFonts w:ascii="Times New Roman" w:hAnsi="Times New Roman" w:cs="Times New Roman"/>
          <w:sz w:val="22"/>
          <w:szCs w:val="22"/>
        </w:rPr>
        <w:sectPr w:rsidR="00946F7E" w:rsidSect="00423F12">
          <w:pgSz w:w="12240" w:h="15840"/>
          <w:pgMar w:top="1440" w:right="1440" w:bottom="1440" w:left="1440" w:header="720" w:footer="720" w:gutter="0"/>
          <w:pgNumType w:start="1"/>
          <w:cols w:space="720"/>
        </w:sectPr>
      </w:pPr>
      <w:r w:rsidRPr="00423F12">
        <w:rPr>
          <w:rFonts w:ascii="Times New Roman" w:hAnsi="Times New Roman" w:cs="Times New Roman"/>
          <w:sz w:val="22"/>
          <w:szCs w:val="22"/>
        </w:rPr>
        <w:t xml:space="preserve">[Signature </w:t>
      </w:r>
      <w:r w:rsidRPr="00423F12">
        <w:rPr>
          <w:rFonts w:ascii="Times New Roman" w:hAnsi="Times New Roman" w:cs="Times New Roman"/>
          <w:sz w:val="22"/>
          <w:szCs w:val="22"/>
        </w:rPr>
        <w:t>Page Follows</w:t>
      </w:r>
      <w:r w:rsidRPr="00423F12">
        <w:rPr>
          <w:rFonts w:ascii="Times New Roman" w:hAnsi="Times New Roman" w:cs="Times New Roman"/>
          <w:sz w:val="22"/>
          <w:szCs w:val="22"/>
        </w:rPr>
        <w:t>]</w:t>
      </w:r>
    </w:p>
    <w:p w14:paraId="2578A47B" w14:textId="77777777" w:rsidR="008203BF" w:rsidRPr="008203BF" w:rsidRDefault="008203BF" w:rsidP="008203BF">
      <w:pPr>
        <w:pStyle w:val="FirstParagraph"/>
        <w:ind w:firstLine="720"/>
        <w:rPr>
          <w:rFonts w:ascii="Times New Roman" w:hAnsi="Times New Roman" w:cs="Times New Roman"/>
          <w:sz w:val="22"/>
          <w:szCs w:val="22"/>
        </w:rPr>
      </w:pPr>
      <w:r w:rsidRPr="008203BF">
        <w:rPr>
          <w:rFonts w:ascii="Times New Roman" w:hAnsi="Times New Roman" w:cs="Times New Roman"/>
          <w:sz w:val="22"/>
          <w:szCs w:val="22"/>
        </w:rPr>
        <w:lastRenderedPageBreak/>
        <w:t>This consent may be executed in any number of counterparts, each of which, when so executed and delivered, shall be deemed an original, and such counterparts shall together constitute one and the same document. This action by written consent is effective, and the resolutions herein are adopted, as of the date set forth above.</w:t>
      </w:r>
    </w:p>
    <w:p w14:paraId="204ACD64" w14:textId="77777777" w:rsidR="008203BF" w:rsidRPr="008203BF" w:rsidRDefault="008203BF" w:rsidP="008203BF">
      <w:pPr>
        <w:pStyle w:val="FirstParagraph"/>
        <w:rPr>
          <w:rFonts w:ascii="Times New Roman" w:hAnsi="Times New Roman" w:cs="Times New Roman"/>
          <w:sz w:val="22"/>
          <w:szCs w:val="22"/>
        </w:rPr>
      </w:pPr>
    </w:p>
    <w:p w14:paraId="70B62C79" w14:textId="53B7A659" w:rsidR="008203BF" w:rsidRPr="008203BF" w:rsidRDefault="008203BF" w:rsidP="008203BF">
      <w:pPr>
        <w:pStyle w:val="FirstParagraph"/>
        <w:spacing w:before="0" w:after="0"/>
        <w:rPr>
          <w:rFonts w:ascii="Times New Roman" w:hAnsi="Times New Roman" w:cs="Times New Roman"/>
          <w:sz w:val="22"/>
          <w:szCs w:val="22"/>
        </w:rPr>
      </w:pPr>
      <w:r w:rsidRPr="008203BF">
        <w:rPr>
          <w:rFonts w:ascii="Times New Roman" w:hAnsi="Times New Roman" w:cs="Times New Roman"/>
          <w:sz w:val="22"/>
          <w:szCs w:val="22"/>
        </w:rPr>
        <w:tab/>
      </w:r>
      <w:r w:rsidRPr="008203BF">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8203BF">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p>
    <w:p w14:paraId="17D5122C" w14:textId="3A7685BA" w:rsidR="008203BF" w:rsidRPr="008203BF" w:rsidRDefault="008203BF" w:rsidP="008203BF">
      <w:pPr>
        <w:pStyle w:val="FirstParagraph"/>
        <w:spacing w:before="0" w:after="0"/>
        <w:rPr>
          <w:rFonts w:ascii="Times New Roman" w:hAnsi="Times New Roman" w:cs="Times New Roman"/>
          <w:sz w:val="22"/>
          <w:szCs w:val="22"/>
        </w:rPr>
      </w:pPr>
      <w:r w:rsidRPr="008203BF">
        <w:rPr>
          <w:rFonts w:ascii="Times New Roman" w:hAnsi="Times New Roman" w:cs="Times New Roman"/>
          <w:b/>
          <w:bCs/>
          <w:sz w:val="22"/>
          <w:szCs w:val="22"/>
        </w:rPr>
        <w:tab/>
      </w:r>
      <w:r w:rsidRPr="008203BF">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8203BF">
        <w:rPr>
          <w:rFonts w:ascii="Times New Roman" w:hAnsi="Times New Roman" w:cs="Times New Roman"/>
          <w:sz w:val="22"/>
          <w:szCs w:val="22"/>
        </w:rPr>
        <w:t>Director 1</w:t>
      </w:r>
    </w:p>
    <w:p w14:paraId="6426F155" w14:textId="77777777" w:rsidR="008203BF" w:rsidRDefault="008203BF" w:rsidP="008203BF">
      <w:pPr>
        <w:pStyle w:val="FirstParagraph"/>
        <w:spacing w:before="0" w:after="0"/>
        <w:rPr>
          <w:rFonts w:ascii="Times New Roman" w:hAnsi="Times New Roman" w:cs="Times New Roman"/>
          <w:sz w:val="22"/>
          <w:szCs w:val="22"/>
        </w:rPr>
      </w:pPr>
    </w:p>
    <w:p w14:paraId="0516A5E3" w14:textId="77777777" w:rsidR="008203BF" w:rsidRPr="008203BF" w:rsidRDefault="008203BF" w:rsidP="008203BF">
      <w:pPr>
        <w:pStyle w:val="BodyText"/>
      </w:pPr>
    </w:p>
    <w:p w14:paraId="4505316E" w14:textId="40B29754" w:rsidR="008203BF" w:rsidRPr="008203BF" w:rsidRDefault="008203BF" w:rsidP="008203BF">
      <w:pPr>
        <w:pStyle w:val="FirstParagraph"/>
        <w:spacing w:before="0" w:after="0"/>
        <w:rPr>
          <w:rFonts w:ascii="Times New Roman" w:hAnsi="Times New Roman" w:cs="Times New Roman"/>
          <w:sz w:val="22"/>
          <w:szCs w:val="22"/>
        </w:rPr>
      </w:pPr>
      <w:r w:rsidRPr="008203BF">
        <w:rPr>
          <w:rFonts w:ascii="Times New Roman" w:hAnsi="Times New Roman" w:cs="Times New Roman"/>
          <w:sz w:val="22"/>
          <w:szCs w:val="22"/>
        </w:rPr>
        <w:tab/>
      </w:r>
      <w:r w:rsidRPr="008203BF">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8203BF">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p>
    <w:p w14:paraId="734623D9" w14:textId="6FEE8C91" w:rsidR="008203BF" w:rsidRPr="008203BF" w:rsidRDefault="008203BF" w:rsidP="008203BF">
      <w:pPr>
        <w:pStyle w:val="FirstParagraph"/>
        <w:spacing w:before="0" w:after="0"/>
        <w:rPr>
          <w:rFonts w:ascii="Times New Roman" w:hAnsi="Times New Roman" w:cs="Times New Roman"/>
          <w:sz w:val="22"/>
          <w:szCs w:val="22"/>
        </w:rPr>
      </w:pPr>
      <w:r w:rsidRPr="008203BF">
        <w:rPr>
          <w:rFonts w:ascii="Times New Roman" w:hAnsi="Times New Roman" w:cs="Times New Roman"/>
          <w:b/>
          <w:bCs/>
          <w:sz w:val="22"/>
          <w:szCs w:val="22"/>
        </w:rPr>
        <w:tab/>
      </w:r>
      <w:r w:rsidRPr="008203BF">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8203BF">
        <w:rPr>
          <w:rFonts w:ascii="Times New Roman" w:hAnsi="Times New Roman" w:cs="Times New Roman"/>
          <w:sz w:val="22"/>
          <w:szCs w:val="22"/>
        </w:rPr>
        <w:t>Director 2</w:t>
      </w:r>
    </w:p>
    <w:p w14:paraId="64DA2255" w14:textId="77777777" w:rsidR="008203BF" w:rsidRDefault="008203BF" w:rsidP="008203BF">
      <w:pPr>
        <w:pStyle w:val="FirstParagraph"/>
        <w:spacing w:before="0" w:after="0"/>
        <w:rPr>
          <w:rFonts w:ascii="Times New Roman" w:hAnsi="Times New Roman" w:cs="Times New Roman"/>
          <w:sz w:val="22"/>
          <w:szCs w:val="22"/>
        </w:rPr>
      </w:pPr>
    </w:p>
    <w:p w14:paraId="358256D6" w14:textId="77777777" w:rsidR="008203BF" w:rsidRPr="008203BF" w:rsidRDefault="008203BF" w:rsidP="008203BF">
      <w:pPr>
        <w:pStyle w:val="BodyText"/>
      </w:pPr>
    </w:p>
    <w:p w14:paraId="1F64034D" w14:textId="26B061FB" w:rsidR="008203BF" w:rsidRPr="008203BF" w:rsidRDefault="008203BF" w:rsidP="008203BF">
      <w:pPr>
        <w:pStyle w:val="FirstParagraph"/>
        <w:spacing w:before="0" w:after="0"/>
        <w:rPr>
          <w:rFonts w:ascii="Times New Roman" w:hAnsi="Times New Roman" w:cs="Times New Roman"/>
          <w:sz w:val="22"/>
          <w:szCs w:val="22"/>
        </w:rPr>
      </w:pPr>
      <w:r w:rsidRPr="008203BF">
        <w:rPr>
          <w:rFonts w:ascii="Times New Roman" w:hAnsi="Times New Roman" w:cs="Times New Roman"/>
          <w:sz w:val="22"/>
          <w:szCs w:val="22"/>
        </w:rPr>
        <w:tab/>
      </w:r>
      <w:r w:rsidRPr="008203BF">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8203BF">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r>
        <w:rPr>
          <w:rFonts w:ascii="Times New Roman" w:hAnsi="Times New Roman" w:cs="Times New Roman"/>
          <w:sz w:val="22"/>
          <w:szCs w:val="22"/>
          <w:u w:val="single"/>
        </w:rPr>
        <w:tab/>
      </w:r>
    </w:p>
    <w:p w14:paraId="5ADF7471" w14:textId="5D6D5045" w:rsidR="008203BF" w:rsidRPr="008203BF" w:rsidRDefault="008203BF" w:rsidP="008203BF">
      <w:pPr>
        <w:pStyle w:val="FirstParagraph"/>
        <w:spacing w:before="0" w:after="0"/>
        <w:rPr>
          <w:rFonts w:ascii="Times New Roman" w:hAnsi="Times New Roman" w:cs="Times New Roman"/>
          <w:sz w:val="22"/>
          <w:szCs w:val="22"/>
        </w:rPr>
      </w:pPr>
      <w:r w:rsidRPr="008203BF">
        <w:rPr>
          <w:rFonts w:ascii="Times New Roman" w:hAnsi="Times New Roman" w:cs="Times New Roman"/>
          <w:b/>
          <w:bCs/>
          <w:sz w:val="22"/>
          <w:szCs w:val="22"/>
        </w:rPr>
        <w:tab/>
      </w:r>
      <w:r w:rsidRPr="008203BF">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8203BF">
        <w:rPr>
          <w:rFonts w:ascii="Times New Roman" w:hAnsi="Times New Roman" w:cs="Times New Roman"/>
          <w:sz w:val="22"/>
          <w:szCs w:val="22"/>
        </w:rPr>
        <w:t>Director 3</w:t>
      </w:r>
    </w:p>
    <w:p w14:paraId="4982FA3A" w14:textId="77777777" w:rsidR="008203BF" w:rsidRPr="008203BF" w:rsidRDefault="008203BF" w:rsidP="008203BF">
      <w:pPr>
        <w:pStyle w:val="FirstParagraph"/>
        <w:rPr>
          <w:rFonts w:ascii="Times New Roman" w:hAnsi="Times New Roman" w:cs="Times New Roman"/>
          <w:sz w:val="22"/>
          <w:szCs w:val="22"/>
        </w:rPr>
      </w:pPr>
    </w:p>
    <w:p w14:paraId="7144AE96" w14:textId="77777777" w:rsidR="00423F12" w:rsidRPr="00423F12" w:rsidRDefault="00423F12" w:rsidP="008203BF">
      <w:pPr>
        <w:pStyle w:val="FirstParagraph"/>
        <w:rPr>
          <w:rFonts w:ascii="Times New Roman" w:hAnsi="Times New Roman" w:cs="Times New Roman"/>
          <w:sz w:val="22"/>
          <w:szCs w:val="22"/>
        </w:rPr>
      </w:pPr>
    </w:p>
    <w:p w14:paraId="2DFFCBA4" w14:textId="5FC0BB21" w:rsidR="00423F12" w:rsidRPr="00423F12" w:rsidRDefault="00423F12" w:rsidP="00423F12">
      <w:pPr>
        <w:pStyle w:val="FirstParagraph"/>
        <w:rPr>
          <w:rFonts w:ascii="Times New Roman" w:hAnsi="Times New Roman" w:cs="Times New Roman"/>
          <w:sz w:val="22"/>
          <w:szCs w:val="22"/>
        </w:rPr>
      </w:pPr>
    </w:p>
    <w:p w14:paraId="76144DE5" w14:textId="77777777" w:rsidR="00423F12" w:rsidRPr="00423F12" w:rsidRDefault="00423F12">
      <w:pPr>
        <w:rPr>
          <w:rFonts w:ascii="Times New Roman" w:hAnsi="Times New Roman" w:cs="Times New Roman"/>
          <w:sz w:val="22"/>
          <w:szCs w:val="22"/>
        </w:rPr>
        <w:sectPr w:rsidR="00423F12" w:rsidRPr="00423F12" w:rsidSect="00423F12">
          <w:pgSz w:w="12240" w:h="15840"/>
          <w:pgMar w:top="1440" w:right="1440" w:bottom="1440" w:left="1440" w:header="720" w:footer="720" w:gutter="0"/>
          <w:pgNumType w:start="1"/>
          <w:cols w:space="720"/>
        </w:sectPr>
      </w:pPr>
    </w:p>
    <w:p w14:paraId="73974786" w14:textId="77777777" w:rsidR="00630F8E" w:rsidRPr="00423F12" w:rsidRDefault="00000000" w:rsidP="00423F12">
      <w:pPr>
        <w:pStyle w:val="Heading2"/>
        <w:jc w:val="center"/>
        <w:rPr>
          <w:rFonts w:ascii="Times New Roman" w:hAnsi="Times New Roman" w:cs="Times New Roman"/>
          <w:color w:val="auto"/>
          <w:sz w:val="22"/>
          <w:szCs w:val="22"/>
        </w:rPr>
      </w:pPr>
      <w:bookmarkStart w:id="10" w:name="exhibit-a-program-guidelines"/>
      <w:bookmarkEnd w:id="1"/>
      <w:bookmarkEnd w:id="9"/>
      <w:r w:rsidRPr="00423F12">
        <w:rPr>
          <w:rFonts w:ascii="Times New Roman" w:hAnsi="Times New Roman" w:cs="Times New Roman"/>
          <w:color w:val="auto"/>
          <w:sz w:val="22"/>
          <w:szCs w:val="22"/>
        </w:rPr>
        <w:lastRenderedPageBreak/>
        <w:t>EXHIBIT A: PROGRAM GUIDELINES</w:t>
      </w:r>
    </w:p>
    <w:p w14:paraId="0D9FC968"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The Authorized Officers may approve secondary transfers and execute a SALE on behalf of the Company only if ALL of the following conditions are met.</w:t>
      </w:r>
    </w:p>
    <w:p w14:paraId="45FE59A5" w14:textId="77777777" w:rsidR="00630F8E" w:rsidRPr="00423F12" w:rsidRDefault="00000000">
      <w:pPr>
        <w:pStyle w:val="Heading3"/>
        <w:rPr>
          <w:rFonts w:ascii="Times New Roman" w:hAnsi="Times New Roman" w:cs="Times New Roman"/>
          <w:color w:val="auto"/>
          <w:sz w:val="22"/>
          <w:szCs w:val="22"/>
        </w:rPr>
      </w:pPr>
      <w:bookmarkStart w:id="11" w:name="form-integrity"/>
      <w:r w:rsidRPr="00423F12">
        <w:rPr>
          <w:rFonts w:ascii="Times New Roman" w:hAnsi="Times New Roman" w:cs="Times New Roman"/>
          <w:color w:val="auto"/>
          <w:sz w:val="22"/>
          <w:szCs w:val="22"/>
        </w:rPr>
        <w:t>1. Form Integrity</w:t>
      </w:r>
    </w:p>
    <w:p w14:paraId="49C1F7FE"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The transaction uses the standard SALE form (v1.0 or any successor version approved by the Board) without modification, except for the completion of blanks and bracketed terms as contemplated by the form.</w:t>
      </w:r>
    </w:p>
    <w:p w14:paraId="31539813" w14:textId="77777777" w:rsidR="00630F8E" w:rsidRPr="00423F12" w:rsidRDefault="00000000">
      <w:pPr>
        <w:pStyle w:val="Heading3"/>
        <w:rPr>
          <w:rFonts w:ascii="Times New Roman" w:hAnsi="Times New Roman" w:cs="Times New Roman"/>
          <w:color w:val="auto"/>
          <w:sz w:val="22"/>
          <w:szCs w:val="22"/>
        </w:rPr>
      </w:pPr>
      <w:bookmarkStart w:id="12" w:name="per-transaction-size-limit"/>
      <w:bookmarkEnd w:id="11"/>
      <w:r w:rsidRPr="00423F12">
        <w:rPr>
          <w:rFonts w:ascii="Times New Roman" w:hAnsi="Times New Roman" w:cs="Times New Roman"/>
          <w:color w:val="auto"/>
          <w:sz w:val="22"/>
          <w:szCs w:val="22"/>
        </w:rPr>
        <w:t>2. Per-Transaction Size Limit</w:t>
      </w:r>
    </w:p>
    <w:p w14:paraId="6EFDF1B5"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The aggregate purchase price of the Transferred Shares in any single SALE does not exceed $[_______] [e.g., $250,000].</w:t>
      </w:r>
    </w:p>
    <w:p w14:paraId="1F2EA0AC" w14:textId="77777777" w:rsidR="00630F8E" w:rsidRPr="00423F12" w:rsidRDefault="00000000">
      <w:pPr>
        <w:pStyle w:val="Heading3"/>
        <w:rPr>
          <w:rFonts w:ascii="Times New Roman" w:hAnsi="Times New Roman" w:cs="Times New Roman"/>
          <w:color w:val="auto"/>
          <w:sz w:val="22"/>
          <w:szCs w:val="22"/>
        </w:rPr>
      </w:pPr>
      <w:bookmarkStart w:id="13" w:name="volume-cap"/>
      <w:bookmarkEnd w:id="12"/>
      <w:r w:rsidRPr="00423F12">
        <w:rPr>
          <w:rFonts w:ascii="Times New Roman" w:hAnsi="Times New Roman" w:cs="Times New Roman"/>
          <w:color w:val="auto"/>
          <w:sz w:val="22"/>
          <w:szCs w:val="22"/>
        </w:rPr>
        <w:t>3. Volume Cap</w:t>
      </w:r>
    </w:p>
    <w:p w14:paraId="5AD699F5"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The aggregate number of shares transferred under this Program in any rolling 12-month period shall not exceed [___]% [e.g., 5%] of the Company’s fully diluted capitalization as of the beginning of such period.</w:t>
      </w:r>
    </w:p>
    <w:p w14:paraId="75DD4409" w14:textId="77777777" w:rsidR="00630F8E" w:rsidRPr="00423F12" w:rsidRDefault="00000000">
      <w:pPr>
        <w:pStyle w:val="Heading3"/>
        <w:rPr>
          <w:rFonts w:ascii="Times New Roman" w:hAnsi="Times New Roman" w:cs="Times New Roman"/>
          <w:color w:val="auto"/>
          <w:sz w:val="22"/>
          <w:szCs w:val="22"/>
        </w:rPr>
      </w:pPr>
      <w:bookmarkStart w:id="14" w:name="pricing-guardrails-409a-protection"/>
      <w:bookmarkEnd w:id="13"/>
      <w:r w:rsidRPr="00423F12">
        <w:rPr>
          <w:rFonts w:ascii="Times New Roman" w:hAnsi="Times New Roman" w:cs="Times New Roman"/>
          <w:color w:val="auto"/>
          <w:sz w:val="22"/>
          <w:szCs w:val="22"/>
        </w:rPr>
        <w:t>4. Pricing Guardrails (409A Protection)</w:t>
      </w:r>
    </w:p>
    <w:p w14:paraId="44880D06"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To prevent an adverse impact on the Company’s 409A valuation:</w:t>
      </w:r>
    </w:p>
    <w:p w14:paraId="32686D7B" w14:textId="77777777" w:rsidR="00630F8E" w:rsidRPr="00423F12" w:rsidRDefault="00000000">
      <w:pPr>
        <w:pStyle w:val="Compact"/>
        <w:numPr>
          <w:ilvl w:val="0"/>
          <w:numId w:val="2"/>
        </w:numPr>
        <w:rPr>
          <w:rFonts w:ascii="Times New Roman" w:hAnsi="Times New Roman" w:cs="Times New Roman"/>
          <w:sz w:val="22"/>
          <w:szCs w:val="22"/>
        </w:rPr>
      </w:pPr>
      <w:r w:rsidRPr="00423F12">
        <w:rPr>
          <w:rFonts w:ascii="Times New Roman" w:hAnsi="Times New Roman" w:cs="Times New Roman"/>
          <w:b/>
          <w:bCs/>
          <w:sz w:val="22"/>
          <w:szCs w:val="22"/>
        </w:rPr>
        <w:t>Ceiling:</w:t>
      </w:r>
      <w:r w:rsidRPr="00423F12">
        <w:rPr>
          <w:rFonts w:ascii="Times New Roman" w:hAnsi="Times New Roman" w:cs="Times New Roman"/>
          <w:sz w:val="22"/>
          <w:szCs w:val="22"/>
        </w:rPr>
        <w:t xml:space="preserve"> The purchase price per share shall not exceed the price per share of the Company’s most recent Preferred Stock financing (to avoid an “up-round” signal that could increase the 409A FMV and raise the strike price of future option grants).</w:t>
      </w:r>
    </w:p>
    <w:p w14:paraId="6B3CDA67" w14:textId="77777777" w:rsidR="00630F8E" w:rsidRPr="00423F12" w:rsidRDefault="00000000">
      <w:pPr>
        <w:pStyle w:val="Compact"/>
        <w:numPr>
          <w:ilvl w:val="0"/>
          <w:numId w:val="3"/>
        </w:numPr>
        <w:rPr>
          <w:rFonts w:ascii="Times New Roman" w:hAnsi="Times New Roman" w:cs="Times New Roman"/>
          <w:sz w:val="22"/>
          <w:szCs w:val="22"/>
        </w:rPr>
      </w:pPr>
      <w:r w:rsidRPr="00423F12">
        <w:rPr>
          <w:rFonts w:ascii="Times New Roman" w:hAnsi="Times New Roman" w:cs="Times New Roman"/>
          <w:b/>
          <w:bCs/>
          <w:sz w:val="22"/>
          <w:szCs w:val="22"/>
        </w:rPr>
        <w:t>Floor:</w:t>
      </w:r>
      <w:r w:rsidRPr="00423F12">
        <w:rPr>
          <w:rFonts w:ascii="Times New Roman" w:hAnsi="Times New Roman" w:cs="Times New Roman"/>
          <w:sz w:val="22"/>
          <w:szCs w:val="22"/>
        </w:rPr>
        <w:t xml:space="preserve"> The discount to the Reference Price shall not exceed [___]% [e.g., 30%] (to avoid a “distressed sale” signal that could depress the 409A FMV or trigger auditor scrutiny).</w:t>
      </w:r>
    </w:p>
    <w:p w14:paraId="18938FA4" w14:textId="77777777" w:rsidR="00630F8E" w:rsidRPr="00423F12" w:rsidRDefault="00000000">
      <w:pPr>
        <w:pStyle w:val="Heading3"/>
        <w:rPr>
          <w:rFonts w:ascii="Times New Roman" w:hAnsi="Times New Roman" w:cs="Times New Roman"/>
          <w:color w:val="auto"/>
          <w:sz w:val="22"/>
          <w:szCs w:val="22"/>
        </w:rPr>
      </w:pPr>
      <w:bookmarkStart w:id="15" w:name="eligible-buyers"/>
      <w:bookmarkEnd w:id="14"/>
      <w:r w:rsidRPr="00423F12">
        <w:rPr>
          <w:rFonts w:ascii="Times New Roman" w:hAnsi="Times New Roman" w:cs="Times New Roman"/>
          <w:color w:val="auto"/>
          <w:sz w:val="22"/>
          <w:szCs w:val="22"/>
        </w:rPr>
        <w:t>5. Eligible Buyers</w:t>
      </w:r>
    </w:p>
    <w:p w14:paraId="6FFA418B"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Transfers may only be made to Buyers who satisfy ALL of the following:</w:t>
      </w:r>
    </w:p>
    <w:p w14:paraId="6EB16FD3" w14:textId="77777777" w:rsidR="00630F8E" w:rsidRPr="00423F12" w:rsidRDefault="00000000">
      <w:pPr>
        <w:pStyle w:val="Compact"/>
        <w:numPr>
          <w:ilvl w:val="0"/>
          <w:numId w:val="4"/>
        </w:numPr>
        <w:rPr>
          <w:rFonts w:ascii="Times New Roman" w:hAnsi="Times New Roman" w:cs="Times New Roman"/>
          <w:sz w:val="22"/>
          <w:szCs w:val="22"/>
        </w:rPr>
      </w:pPr>
      <w:r w:rsidRPr="00423F12">
        <w:rPr>
          <w:rFonts w:ascii="Times New Roman" w:hAnsi="Times New Roman" w:cs="Times New Roman"/>
          <w:sz w:val="22"/>
          <w:szCs w:val="22"/>
        </w:rPr>
        <w:t>The Buyer is an “Accredited Investor” as defined in Rule 501(a) of Regulation D under the Securities Act of 1933, as amended.</w:t>
      </w:r>
    </w:p>
    <w:p w14:paraId="281BD4EF" w14:textId="77777777" w:rsidR="00630F8E" w:rsidRPr="00423F12" w:rsidRDefault="00000000">
      <w:pPr>
        <w:pStyle w:val="Compact"/>
        <w:numPr>
          <w:ilvl w:val="0"/>
          <w:numId w:val="5"/>
        </w:numPr>
        <w:rPr>
          <w:rFonts w:ascii="Times New Roman" w:hAnsi="Times New Roman" w:cs="Times New Roman"/>
          <w:sz w:val="22"/>
          <w:szCs w:val="22"/>
        </w:rPr>
      </w:pPr>
      <w:r w:rsidRPr="00423F12">
        <w:rPr>
          <w:rFonts w:ascii="Times New Roman" w:hAnsi="Times New Roman" w:cs="Times New Roman"/>
          <w:sz w:val="22"/>
          <w:szCs w:val="22"/>
        </w:rPr>
        <w:t>The Buyer is either: (i) an existing Major Investor (as defined in the Company Agreements); or (ii) an institutional buyer or other person approved by an Authorized Officer, who agrees to be bound by the Market Stand-Off (Lock-Up) provision in the Investors’ Rights Agreement.</w:t>
      </w:r>
    </w:p>
    <w:p w14:paraId="4EC4A239" w14:textId="77777777" w:rsidR="00630F8E" w:rsidRPr="00423F12" w:rsidRDefault="00000000">
      <w:pPr>
        <w:pStyle w:val="Compact"/>
        <w:numPr>
          <w:ilvl w:val="0"/>
          <w:numId w:val="6"/>
        </w:numPr>
        <w:rPr>
          <w:rFonts w:ascii="Times New Roman" w:hAnsi="Times New Roman" w:cs="Times New Roman"/>
          <w:sz w:val="22"/>
          <w:szCs w:val="22"/>
        </w:rPr>
      </w:pPr>
      <w:r w:rsidRPr="00423F12">
        <w:rPr>
          <w:rFonts w:ascii="Times New Roman" w:hAnsi="Times New Roman" w:cs="Times New Roman"/>
          <w:sz w:val="22"/>
          <w:szCs w:val="22"/>
        </w:rPr>
        <w:t>The Buyer is not a competitor of the Company, an employee or agent of a competitor, or any other person whose ownership of Company stock would, in the reasonable judgment of the Authorized Officer, be adverse to the interests of the Company.</w:t>
      </w:r>
    </w:p>
    <w:p w14:paraId="689056E5" w14:textId="77777777" w:rsidR="00630F8E" w:rsidRPr="00423F12" w:rsidRDefault="00000000">
      <w:pPr>
        <w:pStyle w:val="Compact"/>
        <w:numPr>
          <w:ilvl w:val="0"/>
          <w:numId w:val="7"/>
        </w:numPr>
        <w:rPr>
          <w:rFonts w:ascii="Times New Roman" w:hAnsi="Times New Roman" w:cs="Times New Roman"/>
          <w:sz w:val="22"/>
          <w:szCs w:val="22"/>
        </w:rPr>
      </w:pPr>
      <w:r w:rsidRPr="00423F12">
        <w:rPr>
          <w:rFonts w:ascii="Times New Roman" w:hAnsi="Times New Roman" w:cs="Times New Roman"/>
          <w:sz w:val="22"/>
          <w:szCs w:val="22"/>
        </w:rPr>
        <w:t>Neither the Buyer nor any of its control persons is subject to “Bad Actor” disqualification under Rule 506(d) of the Securities Act.</w:t>
      </w:r>
    </w:p>
    <w:p w14:paraId="04628881" w14:textId="77777777" w:rsidR="00630F8E" w:rsidRPr="00423F12" w:rsidRDefault="00000000">
      <w:pPr>
        <w:pStyle w:val="Heading3"/>
        <w:rPr>
          <w:rFonts w:ascii="Times New Roman" w:hAnsi="Times New Roman" w:cs="Times New Roman"/>
          <w:color w:val="auto"/>
          <w:sz w:val="22"/>
          <w:szCs w:val="22"/>
        </w:rPr>
      </w:pPr>
      <w:bookmarkStart w:id="16" w:name="seller-eligibility"/>
      <w:bookmarkEnd w:id="15"/>
      <w:r w:rsidRPr="00423F12">
        <w:rPr>
          <w:rFonts w:ascii="Times New Roman" w:hAnsi="Times New Roman" w:cs="Times New Roman"/>
          <w:color w:val="auto"/>
          <w:sz w:val="22"/>
          <w:szCs w:val="22"/>
        </w:rPr>
        <w:t>6. Seller Eligibility</w:t>
      </w:r>
    </w:p>
    <w:p w14:paraId="531B7343" w14:textId="77777777" w:rsidR="00630F8E" w:rsidRPr="00423F12" w:rsidRDefault="00000000">
      <w:pPr>
        <w:pStyle w:val="Compact"/>
        <w:numPr>
          <w:ilvl w:val="0"/>
          <w:numId w:val="8"/>
        </w:numPr>
        <w:rPr>
          <w:rFonts w:ascii="Times New Roman" w:hAnsi="Times New Roman" w:cs="Times New Roman"/>
          <w:sz w:val="22"/>
          <w:szCs w:val="22"/>
        </w:rPr>
      </w:pPr>
      <w:r w:rsidRPr="00423F12">
        <w:rPr>
          <w:rFonts w:ascii="Times New Roman" w:hAnsi="Times New Roman" w:cs="Times New Roman"/>
          <w:sz w:val="22"/>
          <w:szCs w:val="22"/>
        </w:rPr>
        <w:t>Only stockholders who have held their shares for at least [___] months [e.g., 12] are eligible to sell under the Program (aligning with Rule 144 holding period requirements).</w:t>
      </w:r>
    </w:p>
    <w:p w14:paraId="5F21A63B" w14:textId="77777777" w:rsidR="00630F8E" w:rsidRPr="00423F12" w:rsidRDefault="00000000">
      <w:pPr>
        <w:pStyle w:val="Compact"/>
        <w:numPr>
          <w:ilvl w:val="0"/>
          <w:numId w:val="9"/>
        </w:numPr>
        <w:rPr>
          <w:rFonts w:ascii="Times New Roman" w:hAnsi="Times New Roman" w:cs="Times New Roman"/>
          <w:sz w:val="22"/>
          <w:szCs w:val="22"/>
        </w:rPr>
      </w:pPr>
      <w:r w:rsidRPr="00423F12">
        <w:rPr>
          <w:rFonts w:ascii="Times New Roman" w:hAnsi="Times New Roman" w:cs="Times New Roman"/>
          <w:sz w:val="22"/>
          <w:szCs w:val="22"/>
        </w:rPr>
        <w:t>Neither the Seller nor any of its control persons is subject to “Bad Actor” disqualification under Rule 506(d) of the Securities Act.</w:t>
      </w:r>
    </w:p>
    <w:p w14:paraId="28F31DEC" w14:textId="77777777" w:rsidR="00630F8E" w:rsidRPr="00423F12" w:rsidRDefault="00000000">
      <w:pPr>
        <w:pStyle w:val="Heading3"/>
        <w:rPr>
          <w:rFonts w:ascii="Times New Roman" w:hAnsi="Times New Roman" w:cs="Times New Roman"/>
          <w:color w:val="auto"/>
          <w:sz w:val="22"/>
          <w:szCs w:val="22"/>
        </w:rPr>
      </w:pPr>
      <w:bookmarkStart w:id="17" w:name="rofr-compliance"/>
      <w:bookmarkEnd w:id="16"/>
      <w:r w:rsidRPr="00423F12">
        <w:rPr>
          <w:rFonts w:ascii="Times New Roman" w:hAnsi="Times New Roman" w:cs="Times New Roman"/>
          <w:color w:val="auto"/>
          <w:sz w:val="22"/>
          <w:szCs w:val="22"/>
        </w:rPr>
        <w:lastRenderedPageBreak/>
        <w:t>7. ROFR Compliance</w:t>
      </w:r>
    </w:p>
    <w:p w14:paraId="11CF9D36"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The Authorized Officer has confirmed that the Company has provided notice of the proposed transfer to any Major Investors holding rights of first refusal with respect to the Transferred Shares under the Company’s Right of First Refusal and Co-Sale Agreement, and that either (i) such Major Investors have waived their rights in writing, or (ii) the applicable notice and exercise periods have lapsed without exercise.</w:t>
      </w:r>
    </w:p>
    <w:p w14:paraId="64CED61D" w14:textId="77777777" w:rsidR="00630F8E" w:rsidRPr="00423F12" w:rsidRDefault="00000000">
      <w:pPr>
        <w:pStyle w:val="Heading3"/>
        <w:rPr>
          <w:rFonts w:ascii="Times New Roman" w:hAnsi="Times New Roman" w:cs="Times New Roman"/>
          <w:color w:val="auto"/>
          <w:sz w:val="22"/>
          <w:szCs w:val="22"/>
        </w:rPr>
      </w:pPr>
      <w:bookmarkStart w:id="18" w:name="blackout-periods"/>
      <w:bookmarkEnd w:id="17"/>
      <w:r w:rsidRPr="00423F12">
        <w:rPr>
          <w:rFonts w:ascii="Times New Roman" w:hAnsi="Times New Roman" w:cs="Times New Roman"/>
          <w:color w:val="auto"/>
          <w:sz w:val="22"/>
          <w:szCs w:val="22"/>
        </w:rPr>
        <w:t>8. Blackout Periods</w:t>
      </w:r>
    </w:p>
    <w:p w14:paraId="6DF90AE5"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No SALE transaction may close during any of the following periods:</w:t>
      </w:r>
    </w:p>
    <w:p w14:paraId="0623F6C5" w14:textId="77777777" w:rsidR="00630F8E" w:rsidRPr="00423F12" w:rsidRDefault="00000000">
      <w:pPr>
        <w:pStyle w:val="Compact"/>
        <w:numPr>
          <w:ilvl w:val="0"/>
          <w:numId w:val="10"/>
        </w:numPr>
        <w:rPr>
          <w:rFonts w:ascii="Times New Roman" w:hAnsi="Times New Roman" w:cs="Times New Roman"/>
          <w:sz w:val="22"/>
          <w:szCs w:val="22"/>
        </w:rPr>
      </w:pPr>
      <w:r w:rsidRPr="00423F12">
        <w:rPr>
          <w:rFonts w:ascii="Times New Roman" w:hAnsi="Times New Roman" w:cs="Times New Roman"/>
          <w:sz w:val="22"/>
          <w:szCs w:val="22"/>
        </w:rPr>
        <w:t>The period between a fiscal quarter-end and the date the Company’s financial statements for such quarter are finalized (the “Quiet Period”).</w:t>
      </w:r>
    </w:p>
    <w:p w14:paraId="2CBE958C" w14:textId="77777777" w:rsidR="00630F8E" w:rsidRPr="00423F12" w:rsidRDefault="00000000">
      <w:pPr>
        <w:pStyle w:val="Compact"/>
        <w:numPr>
          <w:ilvl w:val="0"/>
          <w:numId w:val="11"/>
        </w:numPr>
        <w:rPr>
          <w:rFonts w:ascii="Times New Roman" w:hAnsi="Times New Roman" w:cs="Times New Roman"/>
          <w:sz w:val="22"/>
          <w:szCs w:val="22"/>
        </w:rPr>
      </w:pPr>
      <w:r w:rsidRPr="00423F12">
        <w:rPr>
          <w:rFonts w:ascii="Times New Roman" w:hAnsi="Times New Roman" w:cs="Times New Roman"/>
          <w:sz w:val="22"/>
          <w:szCs w:val="22"/>
        </w:rPr>
        <w:t>Any period during which the Company is engaged in active negotiations regarding a merger, acquisition, or other change-of-control transaction, as determined by an Authorized Officer.</w:t>
      </w:r>
    </w:p>
    <w:p w14:paraId="267BD542" w14:textId="77777777" w:rsidR="00630F8E" w:rsidRPr="00423F12" w:rsidRDefault="00000000">
      <w:pPr>
        <w:pStyle w:val="Compact"/>
        <w:numPr>
          <w:ilvl w:val="0"/>
          <w:numId w:val="12"/>
        </w:numPr>
        <w:rPr>
          <w:rFonts w:ascii="Times New Roman" w:hAnsi="Times New Roman" w:cs="Times New Roman"/>
          <w:sz w:val="22"/>
          <w:szCs w:val="22"/>
        </w:rPr>
      </w:pPr>
      <w:r w:rsidRPr="00423F12">
        <w:rPr>
          <w:rFonts w:ascii="Times New Roman" w:hAnsi="Times New Roman" w:cs="Times New Roman"/>
          <w:sz w:val="22"/>
          <w:szCs w:val="22"/>
        </w:rPr>
        <w:t>Any other blackout period designated by the Board or an Authorized Officer by written notice to the Company’s stockholders.</w:t>
      </w:r>
    </w:p>
    <w:p w14:paraId="77B0FDB2" w14:textId="77777777" w:rsidR="00630F8E" w:rsidRPr="00423F12" w:rsidRDefault="00000000">
      <w:pPr>
        <w:pStyle w:val="Heading3"/>
        <w:rPr>
          <w:rFonts w:ascii="Times New Roman" w:hAnsi="Times New Roman" w:cs="Times New Roman"/>
          <w:color w:val="auto"/>
          <w:sz w:val="22"/>
          <w:szCs w:val="22"/>
        </w:rPr>
      </w:pPr>
      <w:bookmarkStart w:id="19" w:name="administrative-fee-1"/>
      <w:bookmarkEnd w:id="18"/>
      <w:r w:rsidRPr="00423F12">
        <w:rPr>
          <w:rFonts w:ascii="Times New Roman" w:hAnsi="Times New Roman" w:cs="Times New Roman"/>
          <w:color w:val="auto"/>
          <w:sz w:val="22"/>
          <w:szCs w:val="22"/>
        </w:rPr>
        <w:t>9. Administrative Fee</w:t>
      </w:r>
    </w:p>
    <w:p w14:paraId="5C0182C2"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The applicable party (Seller or Buyer, as designated in the SALE) has agreed to pay the administrative fee specified in the Form SALE to the Company at Closing.</w:t>
      </w:r>
    </w:p>
    <w:p w14:paraId="4102384C" w14:textId="77777777" w:rsidR="00630F8E" w:rsidRPr="00423F12" w:rsidRDefault="00000000">
      <w:pPr>
        <w:pStyle w:val="Heading3"/>
        <w:rPr>
          <w:rFonts w:ascii="Times New Roman" w:hAnsi="Times New Roman" w:cs="Times New Roman"/>
          <w:color w:val="auto"/>
          <w:sz w:val="22"/>
          <w:szCs w:val="22"/>
        </w:rPr>
      </w:pPr>
      <w:bookmarkStart w:id="20" w:name="standard-disclosure-packet"/>
      <w:bookmarkEnd w:id="19"/>
      <w:r w:rsidRPr="00423F12">
        <w:rPr>
          <w:rFonts w:ascii="Times New Roman" w:hAnsi="Times New Roman" w:cs="Times New Roman"/>
          <w:color w:val="auto"/>
          <w:sz w:val="22"/>
          <w:szCs w:val="22"/>
        </w:rPr>
        <w:t>10. Standard Disclosure Packet</w:t>
      </w:r>
    </w:p>
    <w:p w14:paraId="0D36A410" w14:textId="77777777" w:rsidR="00630F8E" w:rsidRPr="00423F12" w:rsidRDefault="00000000">
      <w:pPr>
        <w:pStyle w:val="FirstParagraph"/>
        <w:rPr>
          <w:rFonts w:ascii="Times New Roman" w:hAnsi="Times New Roman" w:cs="Times New Roman"/>
          <w:sz w:val="22"/>
          <w:szCs w:val="22"/>
        </w:rPr>
      </w:pPr>
      <w:r w:rsidRPr="00423F12">
        <w:rPr>
          <w:rFonts w:ascii="Times New Roman" w:hAnsi="Times New Roman" w:cs="Times New Roman"/>
          <w:sz w:val="22"/>
          <w:szCs w:val="22"/>
        </w:rPr>
        <w:t>The Authorized Officer has arranged for delivery to the Buyer of the Standard Disclosure Packet as described in Section 3(c) of the Form SALE, consisting of: (i) the Company’s most recent unaudited balance sheet and income statement, (ii) a summary capitalization table (showing the Buyer’s post-transaction percentage ownership on a fully diluted basis), and (iii) a certification of good standing.</w:t>
      </w:r>
    </w:p>
    <w:p w14:paraId="0440B53C" w14:textId="4F0D5B76" w:rsidR="00423F12" w:rsidRPr="00423F12" w:rsidRDefault="00423F12">
      <w:pPr>
        <w:rPr>
          <w:rFonts w:ascii="Times New Roman" w:hAnsi="Times New Roman" w:cs="Times New Roman"/>
          <w:sz w:val="22"/>
          <w:szCs w:val="22"/>
        </w:rPr>
      </w:pPr>
      <w:r w:rsidRPr="00423F12">
        <w:rPr>
          <w:rFonts w:ascii="Times New Roman" w:hAnsi="Times New Roman" w:cs="Times New Roman"/>
          <w:sz w:val="22"/>
          <w:szCs w:val="22"/>
        </w:rPr>
        <w:br w:type="page"/>
      </w:r>
    </w:p>
    <w:p w14:paraId="417573D9" w14:textId="383D01AA" w:rsidR="00630F8E" w:rsidRPr="00423F12" w:rsidRDefault="00000000" w:rsidP="00423F12">
      <w:pPr>
        <w:pStyle w:val="Heading2"/>
        <w:jc w:val="center"/>
        <w:rPr>
          <w:rFonts w:ascii="Times New Roman" w:hAnsi="Times New Roman" w:cs="Times New Roman"/>
          <w:color w:val="auto"/>
          <w:sz w:val="22"/>
          <w:szCs w:val="22"/>
        </w:rPr>
      </w:pPr>
      <w:bookmarkStart w:id="21" w:name="exhibit-b"/>
      <w:bookmarkEnd w:id="10"/>
      <w:bookmarkEnd w:id="20"/>
      <w:r w:rsidRPr="00423F12">
        <w:rPr>
          <w:rFonts w:ascii="Times New Roman" w:hAnsi="Times New Roman" w:cs="Times New Roman"/>
          <w:color w:val="auto"/>
          <w:sz w:val="22"/>
          <w:szCs w:val="22"/>
        </w:rPr>
        <w:lastRenderedPageBreak/>
        <w:t>EXHIBIT B</w:t>
      </w:r>
      <w:r w:rsidR="00423F12" w:rsidRPr="00423F12">
        <w:rPr>
          <w:rFonts w:ascii="Times New Roman" w:hAnsi="Times New Roman" w:cs="Times New Roman"/>
          <w:color w:val="auto"/>
          <w:sz w:val="22"/>
          <w:szCs w:val="22"/>
        </w:rPr>
        <w:t>: SALE</w:t>
      </w:r>
    </w:p>
    <w:p w14:paraId="4C0DE8AD" w14:textId="22E71441" w:rsidR="00630F8E" w:rsidRPr="00423F12" w:rsidRDefault="00000000" w:rsidP="00423F12">
      <w:pPr>
        <w:pStyle w:val="FirstParagraph"/>
        <w:rPr>
          <w:rFonts w:ascii="Times New Roman" w:hAnsi="Times New Roman" w:cs="Times New Roman"/>
          <w:sz w:val="22"/>
          <w:szCs w:val="22"/>
        </w:rPr>
      </w:pPr>
      <w:r w:rsidRPr="00423F12">
        <w:rPr>
          <w:rFonts w:ascii="Times New Roman" w:hAnsi="Times New Roman" w:cs="Times New Roman"/>
          <w:sz w:val="22"/>
          <w:szCs w:val="22"/>
        </w:rPr>
        <w:t>[Attach Form SALE (v1.0)]</w:t>
      </w:r>
      <w:bookmarkEnd w:id="0"/>
      <w:bookmarkEnd w:id="21"/>
    </w:p>
    <w:sectPr w:rsidR="00630F8E" w:rsidRPr="00423F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63BBD" w14:textId="77777777" w:rsidR="00AF3390" w:rsidRDefault="00AF3390">
      <w:pPr>
        <w:spacing w:after="0"/>
      </w:pPr>
      <w:r>
        <w:separator/>
      </w:r>
    </w:p>
  </w:endnote>
  <w:endnote w:type="continuationSeparator" w:id="0">
    <w:p w14:paraId="0CD52CDD" w14:textId="77777777" w:rsidR="00AF3390" w:rsidRDefault="00AF33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2423599"/>
      <w:docPartObj>
        <w:docPartGallery w:val="Page Numbers (Bottom of Page)"/>
        <w:docPartUnique/>
      </w:docPartObj>
    </w:sdtPr>
    <w:sdtContent>
      <w:p w14:paraId="6616417C" w14:textId="35E7E3AE" w:rsidR="00423F12" w:rsidRDefault="00423F12" w:rsidP="004E54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4F2D79" w14:textId="77777777" w:rsidR="00423F12" w:rsidRDefault="00423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2"/>
        <w:szCs w:val="22"/>
      </w:rPr>
      <w:id w:val="159118754"/>
      <w:docPartObj>
        <w:docPartGallery w:val="Page Numbers (Bottom of Page)"/>
        <w:docPartUnique/>
      </w:docPartObj>
    </w:sdtPr>
    <w:sdtContent>
      <w:p w14:paraId="75E954B9" w14:textId="5A1B6B9E" w:rsidR="00423F12" w:rsidRPr="00423F12" w:rsidRDefault="00423F12" w:rsidP="004E5459">
        <w:pPr>
          <w:pStyle w:val="Footer"/>
          <w:framePr w:wrap="none" w:vAnchor="text" w:hAnchor="margin" w:xAlign="center" w:y="1"/>
          <w:rPr>
            <w:rStyle w:val="PageNumber"/>
            <w:rFonts w:ascii="Times New Roman" w:hAnsi="Times New Roman" w:cs="Times New Roman"/>
            <w:sz w:val="22"/>
            <w:szCs w:val="22"/>
          </w:rPr>
        </w:pPr>
        <w:r w:rsidRPr="00423F12">
          <w:rPr>
            <w:rStyle w:val="PageNumber"/>
            <w:rFonts w:ascii="Times New Roman" w:hAnsi="Times New Roman" w:cs="Times New Roman"/>
            <w:sz w:val="22"/>
            <w:szCs w:val="22"/>
          </w:rPr>
          <w:fldChar w:fldCharType="begin"/>
        </w:r>
        <w:r w:rsidRPr="00423F12">
          <w:rPr>
            <w:rStyle w:val="PageNumber"/>
            <w:rFonts w:ascii="Times New Roman" w:hAnsi="Times New Roman" w:cs="Times New Roman"/>
            <w:sz w:val="22"/>
            <w:szCs w:val="22"/>
          </w:rPr>
          <w:instrText xml:space="preserve"> PAGE </w:instrText>
        </w:r>
        <w:r w:rsidRPr="00423F12">
          <w:rPr>
            <w:rStyle w:val="PageNumber"/>
            <w:rFonts w:ascii="Times New Roman" w:hAnsi="Times New Roman" w:cs="Times New Roman"/>
            <w:sz w:val="22"/>
            <w:szCs w:val="22"/>
          </w:rPr>
          <w:fldChar w:fldCharType="separate"/>
        </w:r>
        <w:r w:rsidRPr="00423F12">
          <w:rPr>
            <w:rStyle w:val="PageNumber"/>
            <w:rFonts w:ascii="Times New Roman" w:hAnsi="Times New Roman" w:cs="Times New Roman"/>
            <w:noProof/>
            <w:sz w:val="22"/>
            <w:szCs w:val="22"/>
          </w:rPr>
          <w:t>2</w:t>
        </w:r>
        <w:r w:rsidRPr="00423F12">
          <w:rPr>
            <w:rStyle w:val="PageNumber"/>
            <w:rFonts w:ascii="Times New Roman" w:hAnsi="Times New Roman" w:cs="Times New Roman"/>
            <w:sz w:val="22"/>
            <w:szCs w:val="22"/>
          </w:rPr>
          <w:fldChar w:fldCharType="end"/>
        </w:r>
      </w:p>
    </w:sdtContent>
  </w:sdt>
  <w:p w14:paraId="368AF95F" w14:textId="77777777" w:rsidR="00423F12" w:rsidRDefault="00423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11AC3" w14:textId="77777777" w:rsidR="00AF3390" w:rsidRDefault="00AF3390">
      <w:r>
        <w:separator/>
      </w:r>
    </w:p>
  </w:footnote>
  <w:footnote w:type="continuationSeparator" w:id="0">
    <w:p w14:paraId="4E0973BD" w14:textId="77777777" w:rsidR="00AF3390" w:rsidRDefault="00AF3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247C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731"/>
    <w:multiLevelType w:val="multilevel"/>
    <w:tmpl w:val="77208FC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 w15:restartNumberingAfterBreak="0">
    <w:nsid w:val="00A99732"/>
    <w:multiLevelType w:val="multilevel"/>
    <w:tmpl w:val="19A08802"/>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 w15:restartNumberingAfterBreak="0">
    <w:nsid w:val="00A99733"/>
    <w:multiLevelType w:val="multilevel"/>
    <w:tmpl w:val="4A2622CA"/>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4" w15:restartNumberingAfterBreak="0">
    <w:nsid w:val="00A99734"/>
    <w:multiLevelType w:val="multilevel"/>
    <w:tmpl w:val="586231A2"/>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16cid:durableId="2060932579">
    <w:abstractNumId w:val="0"/>
  </w:num>
  <w:num w:numId="2" w16cid:durableId="391580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355313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997003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427860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203942814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38059170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666907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972446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2118518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11282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7753093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0F8E"/>
    <w:rsid w:val="00297447"/>
    <w:rsid w:val="00423F12"/>
    <w:rsid w:val="00630F8E"/>
    <w:rsid w:val="008203BF"/>
    <w:rsid w:val="00946F7E"/>
    <w:rsid w:val="00AF33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100F0"/>
  <w15:docId w15:val="{CFC47E46-AEFB-FE47-8823-00B5B0F1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23F12"/>
    <w:pPr>
      <w:tabs>
        <w:tab w:val="center" w:pos="4680"/>
        <w:tab w:val="right" w:pos="9360"/>
      </w:tabs>
      <w:spacing w:after="0"/>
    </w:pPr>
  </w:style>
  <w:style w:type="character" w:customStyle="1" w:styleId="HeaderChar">
    <w:name w:val="Header Char"/>
    <w:basedOn w:val="DefaultParagraphFont"/>
    <w:link w:val="Header"/>
    <w:rsid w:val="00423F12"/>
  </w:style>
  <w:style w:type="paragraph" w:styleId="Footer">
    <w:name w:val="footer"/>
    <w:basedOn w:val="Normal"/>
    <w:link w:val="FooterChar"/>
    <w:rsid w:val="00423F12"/>
    <w:pPr>
      <w:tabs>
        <w:tab w:val="center" w:pos="4680"/>
        <w:tab w:val="right" w:pos="9360"/>
      </w:tabs>
      <w:spacing w:after="0"/>
    </w:pPr>
  </w:style>
  <w:style w:type="character" w:customStyle="1" w:styleId="FooterChar">
    <w:name w:val="Footer Char"/>
    <w:basedOn w:val="DefaultParagraphFont"/>
    <w:link w:val="Footer"/>
    <w:rsid w:val="00423F12"/>
  </w:style>
  <w:style w:type="character" w:styleId="PageNumber">
    <w:name w:val="page number"/>
    <w:basedOn w:val="DefaultParagraphFont"/>
    <w:rsid w:val="00423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1465</Words>
  <Characters>8073</Characters>
  <Application>Microsoft Office Word</Application>
  <DocSecurity>0</DocSecurity>
  <Lines>161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Evan L</cp:lastModifiedBy>
  <cp:revision>3</cp:revision>
  <dcterms:created xsi:type="dcterms:W3CDTF">2026-03-17T04:04:00Z</dcterms:created>
  <dcterms:modified xsi:type="dcterms:W3CDTF">2026-03-17T13:11:00Z</dcterms:modified>
</cp:coreProperties>
</file>