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4"/>
        </w:pBdr>
        <w:tabs>
          <w:tab w:val="right" w:pos="9360"/>
        </w:tabs>
        <w:spacing w:after="240"/>
      </w:pPr>
      <w:r>
        <w:rPr>
          <w:b/>
          <w:bCs/>
          <w:sz w:val="32"/>
          <w:szCs w:val="32"/>
        </w:rPr>
        <w:t xml:space="preserve">Asset Tokenization</w:t>
      </w:r>
      <w:r>
        <w:t xml:space="preserve">	</w:t>
      </w:r>
      <w:r>
        <w:rPr>
          <w:i/>
          <w:iCs/>
          <w:sz w:val="20"/>
          <w:szCs w:val="20"/>
        </w:rPr>
        <w:t xml:space="preserve">Last updated May 27, 2026</w:t>
      </w:r>
    </w:p>
    <w:p>
      <w:pPr>
        <w:pStyle w:val="Heading2"/>
      </w:pPr>
      <w:r>
        <w:t xml:space="preserve">Thesis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Tokenization has crossed from pilot to product. </w:t>
      </w:r>
      <w:r>
        <w:t xml:space="preserve">On-chain real-world assets (excluding stablecoins) surpassed $32B in May 2026, roughly tripling over the trailing twelve months, led by tokenized US Treasuries (~45% of the market). BlackRock filed two new tokenized fund structures with the SEC on May 8, 2026, extending a BUIDL franchise that now holds ~$2.4B. Franklin Templeton, JPMorgan, Fidelity, and Apollo have all launched or expanded tokenized products. This is the inflection from experiment to permanent on-chain asset-management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Value accrues to rails and record-keepers, not crypto beta. </w:t>
      </w:r>
      <w:r>
        <w:t xml:space="preserve">The durable thesis is that as Treasuries, money-market funds, private credit, and equities migrate on-chain, economics flow to (a) compliant issuance platforms, (b) regulated custody/transfer-agency and market structure, and (c) the stablecoin settlement layer. This theme is deliberately scoped to mechanism-clean beneficiaries and explicitly excludes bitcoin miners and crypto-treasury vehicles, whose P&amp;L tracks token price rather than tokenization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Stablecoins are the cash leg — and now have a legal regime. </w:t>
      </w:r>
      <w:r>
        <w:t xml:space="preserve">Every tokenized-asset trade needs an on-chain cash settlement instrument. The GENIUS Act (signed July 18, 2025) for the first time defines who may issue a payment stablecoin and removes compliant stablecoins from the SEC/CFTC “security/commodity” definitions, placing banking regulators in charge. The global stablecoin market exceeds $240B, with USDC (~27% share) the most regulation-aligned major issuer. Compliance deadlines tighten into January 2027.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Market structure is institutionalizing fast. </w:t>
      </w:r>
      <w:r>
        <w:t xml:space="preserve">Nasdaq has filed to list tokenized equities and NYSE announced a dedicated venue to trade and settle tokenized securities 24/7. Tokenized equities are the fastest-growing new asset category. The plumbing — listing venues, custody, transfer agency — is being built by both incumbents and crypto-native exchanges, which is where the most defensible (regulatory-chokepoint) economics sit.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Forecasts are large but dispersed — treat as directional. </w:t>
      </w:r>
      <w:r>
        <w:t xml:space="preserve">Estimates range widely: Fortune Business Insights at ~$16B by 2034 versus McKinsey at $2–4T by 2030 and a BCG/Ripple figure near $18.9T. The dispersion is the signal: consensus on direction, none on magnitude or timing. Conviction here is structural, not a call on any single forecast.</w:t>
      </w:r>
    </w:p>
    <w:p>
      <w:pPr>
        <w:pStyle w:val="Heading2"/>
      </w:pPr>
      <w:r>
        <w:t xml:space="preserve">Catalysts to watch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First tokenized-equity venue goes live at scale (NYSE / Nasdaq). </w:t>
      </w:r>
      <w:r>
        <w:t xml:space="preserve">Live 24/7 trading and settlement of tokenized securities on a regulated US venue would be the cleanest demand-pull signal and would directly validate the custody/market-structure leg of the thesis.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GENIUS Act rulemaking finalizes — the rewards/yield question. </w:t>
      </w:r>
      <w:r>
        <w:t xml:space="preserve">OCC and Treasury proposals in early 2026 cast doubt on whether exchange-paid stablecoin rewards survive. Resolution is double-edged: a hard prohibition pressures the Coinbase–Circle revenue-share economics; a workable carve-out is a tailwind. This is the single biggest swing factor for CRCL and COIN and should be watched as a binary event, not a gradual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tokenized fund crosses a systemic AUM threshold. </w:t>
      </w:r>
      <w:r>
        <w:t xml:space="preserve">BUIDL-style products being used as collateral in lending and leveraged trading would mark tokenized assets becoming load-bearing market infrastructure rather than a yield novelty — a structural step-up in the issuance/admin sub-thesis.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Incumbent transfer agents disclose tokenization-attributable revenue. </w:t>
      </w:r>
      <w:r>
        <w:t xml:space="preserve">The first time SS&amp;C or Broadridge breaks out on-chain record-keeping or tokenized-fund administration as a line item is the inflection that repositions them from “disruption risk” to “digitized incumbent” in the eyes of public-equity 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pure-play tokenization issuer IPO (Securitize, Ondo-type). </w:t>
      </w:r>
      <w:r>
        <w:t xml:space="preserve">Would create the first clean public-equity proxy for the issuance layer and likely justify carving out an explicit Issuance sub-theme. Figure (FIGR) is the closest current public approximation on the origination side.</w:t>
      </w:r>
    </w:p>
    <w:p>
      <w:pPr>
        <w:pStyle w:val="Heading2"/>
      </w:pPr>
      <w:r>
        <w:t xml:space="preserve">Market Dynamic, Direction, Time Horizon, and Conviction</w:t>
      </w:r>
    </w:p>
    <w:p>
      <w:pPr>
        <w:spacing w:after="100"/>
      </w:pPr>
      <w:r>
        <w:t xml:space="preserve">Partially anticipated — the rail and stablecoin names (CRCL, COIN) already carry tokenization narrative in their valuations, while the incumbent record-keepers (SSNC, BR) are largely not yet repriced for it. For the in-scope universe this is a </w:t>
      </w:r>
      <w:r>
        <w:rPr>
          <w:b/>
          <w:bCs/>
        </w:rPr>
        <w:t xml:space="preserve">tailwind</w:t>
      </w:r>
      <w:r>
        <w:t xml:space="preserve">, expected over a </w:t>
      </w:r>
      <w:r>
        <w:rPr>
          <w:b/>
          <w:bCs/>
        </w:rPr>
        <w:t xml:space="preserve">5–10 year</w:t>
      </w:r>
      <w:r>
        <w:t xml:space="preserve"> horizon as frameworks settle and asset classes migrate on-chain in sequence (cash → Treasuries → funds → private credit → equities). Theme </w:t>
      </w:r>
      <w:r>
        <w:rPr>
          <w:b/>
          <w:bCs/>
        </w:rPr>
        <w:t xml:space="preserve">conviction is Medium-High</w:t>
      </w:r>
      <w:r>
        <w:t xml:space="preserve"> — strong directional evidence and institutional validation, tempered by uncertainty on timing, regulatory path, and which layer captures the durable economics.</w:t>
      </w:r>
    </w:p>
    <w:p>
      <w:pPr>
        <w:pStyle w:val="Heading2"/>
      </w:pPr>
      <w:r>
        <w:t xml:space="preserve">Private companies to watch (not in universe)</w:t>
      </w:r>
    </w:p>
    <w:p>
      <w:pPr>
        <w:spacing w:after="100"/>
      </w:pPr>
      <w:r>
        <w:rPr>
          <w:i/>
          <w:iCs/>
        </w:rPr>
        <w:t xml:space="preserve">The public roster (CRCL, FIGR, COIN, BLSH, SSNC, BR, XYZ, HOOD) is the full in-universe set. The most material tokenization pure-plays are still private — an IPO or large-incumbent acquisition of any of these would reshape the public-equity surface and likely warrant new edges.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Securitize. </w:t>
      </w:r>
      <w:r>
        <w:t xml:space="preserve">The clear category leader: &gt;$4.6B tokenized AUM and BlackRock’s issuance partner for BUIDL, also administering tokenized products for Apollo, Hamilton Lane, KKR, and VanEck. The single most important private name to track — a Securitize listing would be the cleanest pure-play issuance proxy to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Ondo Finance. </w:t>
      </w:r>
      <w:r>
        <w:t xml:space="preserve">Tokenized US Treasuries and a fast-growing tokenized-equity platform (Ondo Global Markets, 200+ tokenized US stocks/ETFs for non-US investors); earns on reserve income. Among the most likely to reach public markets given scale and product breadth.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Superstate. </w:t>
      </w:r>
      <w:r>
        <w:t xml:space="preserve">Regulated on-chain asset manager (USTB tokenized Treasury fund) pushing issuer-led native tokenized equity structures — the most legally defensible design for direct on-chain equity issuance.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Dinari. </w:t>
      </w:r>
      <w:r>
        <w:t xml:space="preserve">First SEC-registered broker-dealer and transfer agent approved to tokenize securities, issuing dShares backed 1:1 by real shares. The most US-native tokenized-equity attempt — a regulatory-moat name to watch closely.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Centrifuge and Tokeny. </w:t>
      </w:r>
      <w:r>
        <w:t xml:space="preserve">Centrifuge anchors tokenized private credit; Tokeny provides white-label issuance infrastructure. Both are infrastructure-layer pure-plays that would slot directly into the issuance grouping if they reach public markets or are acquired by an incumbent already in the universe.</w:t>
      </w:r>
    </w:p>
    <w:p>
      <w:pPr>
        <w:pStyle w:val="Heading2"/>
      </w:pPr>
      <w:r>
        <w:t xml:space="preserve">Theme Database Structure Related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Theme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 Tokenization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Level /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Level 1 (flat; no Level-2 sub-themes yet) · 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Conviction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Medium-High (conviction_source = Claude-inferred, pending user confirmation)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 EXPOSED_TO, all Tailwind, all source = Claude-inferred, reviewed = 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In-universe members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CRCL, FIGR, SSNC, BR, XYZ, HOOD (matched to 9,917-ticker universe)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AI-added nodes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COIN, BLSH — created_by = Claude, source = Claude-added; not in original universe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Orphans to reconcile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BNY, State Street, Northern Trust, ICE, CME, Nasdaq, CBOE — durable chokepoints absent from universe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 separate from existing themes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Overlaps PQC Migration and Cybersecurity Tailwind on key-management/HSM names, but the driver here is on-chain asset migration, not security spend. Cross-link via RELATES_TO, not CHILD_OF.</w:t>
            </w:r>
          </w:p>
        </w:tc>
      </w:tr>
    </w:tbl>
    <w:p>
      <w:pPr>
        <w:pStyle w:val="Heading2"/>
      </w:pPr>
      <w:r>
        <w:t xml:space="preserve">Caveats and discipline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Scope discipline drove name selection. </w:t>
      </w:r>
      <w:r>
        <w:t xml:space="preserve">Seven crypto-beta names raised in discussion (MARA, RIOT, CLSK, CORZ, IREN miners; MSTR, SBET treasury vehicles) were excluded — their mechanism is token price, not tokenization volume, and they belong in a separate “Crypto Asset Beneficiaries” theme. Every edge here must name whether the company issues tokenized assets, keeps the record, or provides the settlement rail.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most durable layer is the least investable today. </w:t>
      </w:r>
      <w:r>
        <w:t xml:space="preserve">The regulated custody/exchange chokepoints are where the defensible economics sit, yet most of those names are orphans; the matchable universe skews toward issuers and rails. Separately, GENIUS rulemaking is an unresolved binary — reward/yield economics for CRCL and COIN hinge on pending OCC/Treasury rules, so treat status-quo revenue-share assumptions as carrying regulatory tail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All values are Claude-inferred and unreviewed. </w:t>
      </w:r>
      <w:r>
        <w:t xml:space="preserve">Theme conviction and all 8 edge properties are flagged source = Claude-inferred / reviewed = false — framework-driven hypotheses, not confirmed data. This document is framework-driven analysis, not investment advice.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2026-05-28T02:58:18.823Z</dcterms:created>
  <dcterms:modified xsi:type="dcterms:W3CDTF">2026-05-28T02:58:18.823Z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