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F912" w14:textId="77777777" w:rsidR="00D83B30" w:rsidRDefault="00000000">
      <w:pPr>
        <w:pBdr>
          <w:bottom w:val="single" w:sz="6" w:space="4" w:color="2E75B6"/>
        </w:pBdr>
        <w:tabs>
          <w:tab w:val="right" w:pos="9360"/>
        </w:tabs>
        <w:spacing w:after="120"/>
      </w:pPr>
      <w:r>
        <w:rPr>
          <w:b/>
          <w:bCs/>
          <w:sz w:val="32"/>
          <w:szCs w:val="32"/>
        </w:rPr>
        <w:t>Quantum Computing Beneficiaries</w:t>
      </w:r>
      <w:r>
        <w:tab/>
      </w:r>
      <w:r>
        <w:rPr>
          <w:i/>
          <w:iCs/>
          <w:sz w:val="20"/>
          <w:szCs w:val="20"/>
        </w:rPr>
        <w:t>Last updated May 16, 2026</w:t>
      </w:r>
    </w:p>
    <w:p w14:paraId="3A573095" w14:textId="77777777" w:rsidR="00D83B30" w:rsidRDefault="00000000">
      <w:pPr>
        <w:spacing w:before="240" w:after="120"/>
      </w:pPr>
      <w:r>
        <w:rPr>
          <w:b/>
          <w:bCs/>
          <w:sz w:val="26"/>
          <w:szCs w:val="26"/>
        </w:rPr>
        <w:t>Thesis</w:t>
      </w:r>
    </w:p>
    <w:p w14:paraId="3DEFA683" w14:textId="77777777" w:rsidR="00D83B30" w:rsidRDefault="00000000">
      <w:pPr>
        <w:pStyle w:val="ListParagraph"/>
        <w:numPr>
          <w:ilvl w:val="0"/>
          <w:numId w:val="2"/>
        </w:numPr>
        <w:spacing w:before="80" w:after="80"/>
      </w:pPr>
      <w:r>
        <w:rPr>
          <w:b/>
          <w:bCs/>
        </w:rPr>
        <w:t xml:space="preserve">Transition from research to commercial trajectory is now underway, but commercial advantage is still 5–15 years out. </w:t>
      </w:r>
      <w:r>
        <w:t>Google demonstrated the first verifiable quantum advantage on hardware in October 2025 (Quantum Echoes on the 105-qubit Willow chip, published in Nature, 13,000x faster than the best classical algorithm for the OTOC task). Bain estimates the first practical advantage threshold around 100 logical qubits by 2028–2029, with commercially impactful applications (drug discovery, large-scale optimization) requiring 1,000–10,000 logical qubits in the mid-2030s. The slope of progress is real; the timing to revenue is uneven across the value chain.</w:t>
      </w:r>
    </w:p>
    <w:p w14:paraId="2DD3B606" w14:textId="77777777" w:rsidR="00D83B30" w:rsidRDefault="00000000">
      <w:pPr>
        <w:pStyle w:val="ListParagraph"/>
        <w:numPr>
          <w:ilvl w:val="0"/>
          <w:numId w:val="2"/>
        </w:numPr>
        <w:spacing w:before="80" w:after="80"/>
      </w:pPr>
      <w:proofErr w:type="gramStart"/>
      <w:r>
        <w:rPr>
          <w:b/>
          <w:bCs/>
        </w:rPr>
        <w:t>Pure-plays</w:t>
      </w:r>
      <w:proofErr w:type="gramEnd"/>
      <w:r>
        <w:rPr>
          <w:b/>
          <w:bCs/>
        </w:rPr>
        <w:t xml:space="preserve"> are scaling but durability is uncertain. </w:t>
      </w:r>
      <w:proofErr w:type="spellStart"/>
      <w:r>
        <w:t>IonQ</w:t>
      </w:r>
      <w:proofErr w:type="spellEnd"/>
      <w:r>
        <w:t xml:space="preserve"> became the first quantum pure-play to clear $100M in annual GAAP revenue (reported Feb 2026) and is on an acquisition tear (Oxford Ionics, </w:t>
      </w:r>
      <w:proofErr w:type="spellStart"/>
      <w:r>
        <w:t>Lightsynq</w:t>
      </w:r>
      <w:proofErr w:type="spellEnd"/>
      <w:r>
        <w:t xml:space="preserve">, </w:t>
      </w:r>
      <w:proofErr w:type="spellStart"/>
      <w:r>
        <w:t>Qubitekk</w:t>
      </w:r>
      <w:proofErr w:type="spellEnd"/>
      <w:r>
        <w:t xml:space="preserve">, Capella Space, ID </w:t>
      </w:r>
      <w:proofErr w:type="spellStart"/>
      <w:r>
        <w:t>Quantique</w:t>
      </w:r>
      <w:proofErr w:type="spellEnd"/>
      <w:r>
        <w:t xml:space="preserve"> majority stake; </w:t>
      </w:r>
      <w:proofErr w:type="spellStart"/>
      <w:r>
        <w:t>SkyWater</w:t>
      </w:r>
      <w:proofErr w:type="spellEnd"/>
      <w:r>
        <w:t xml:space="preserve"> pending). </w:t>
      </w:r>
      <w:proofErr w:type="spellStart"/>
      <w:r>
        <w:t>Quantinuum</w:t>
      </w:r>
      <w:proofErr w:type="spellEnd"/>
      <w:r>
        <w:t xml:space="preserve"> has filed for what could be the sector's largest IPO. D-Wave (QBTS) is bringing an initial gate-model system to market in 2026 to complement its annealing platform. Six US-listed pure-plays now trade publicly. Modality competition (superconducting vs. trapped-ion vs. photonic vs. neutral-atom) remains unresolved — winner-take-most outcomes are possible at the modality level.</w:t>
      </w:r>
    </w:p>
    <w:p w14:paraId="2DFAD421" w14:textId="77777777" w:rsidR="00D83B30" w:rsidRDefault="00000000">
      <w:pPr>
        <w:pStyle w:val="ListParagraph"/>
        <w:numPr>
          <w:ilvl w:val="0"/>
          <w:numId w:val="2"/>
        </w:numPr>
        <w:spacing w:before="80" w:after="80"/>
      </w:pPr>
      <w:proofErr w:type="spellStart"/>
      <w:r>
        <w:rPr>
          <w:b/>
          <w:bCs/>
        </w:rPr>
        <w:t>Hyperscaler</w:t>
      </w:r>
      <w:proofErr w:type="spellEnd"/>
      <w:r>
        <w:rPr>
          <w:b/>
          <w:bCs/>
        </w:rPr>
        <w:t xml:space="preserve"> exposure is </w:t>
      </w:r>
      <w:proofErr w:type="gramStart"/>
      <w:r>
        <w:rPr>
          <w:b/>
          <w:bCs/>
        </w:rPr>
        <w:t>optionality</w:t>
      </w:r>
      <w:proofErr w:type="gramEnd"/>
      <w:r>
        <w:rPr>
          <w:b/>
          <w:bCs/>
        </w:rPr>
        <w:t xml:space="preserve">, not revenue. </w:t>
      </w:r>
      <w:r>
        <w:t xml:space="preserve">IBM operates the most mature superconducting roadmap (Heron, target 100,000 qubits by 2033) and the broadest enterprise pipeline via </w:t>
      </w:r>
      <w:proofErr w:type="spellStart"/>
      <w:r>
        <w:t>Qiskit</w:t>
      </w:r>
      <w:proofErr w:type="spellEnd"/>
      <w:r>
        <w:t xml:space="preserve">. Google's Willow milestone is research credibility, not revenue. Microsoft's Azure Quantum is positioned as the orchestration cloud across modalities. AWS </w:t>
      </w:r>
      <w:proofErr w:type="spellStart"/>
      <w:r>
        <w:t>Braket</w:t>
      </w:r>
      <w:proofErr w:type="spellEnd"/>
      <w:r>
        <w:t xml:space="preserve"> is the modality-neutral broker. Honeywell stands apart — its retained stake in </w:t>
      </w:r>
      <w:proofErr w:type="spellStart"/>
      <w:r>
        <w:t>Quantinuum</w:t>
      </w:r>
      <w:proofErr w:type="spellEnd"/>
      <w:r>
        <w:t xml:space="preserve"> is a direct equity exposure that an IPO would crystallize.</w:t>
      </w:r>
    </w:p>
    <w:p w14:paraId="0AA8C890" w14:textId="77777777" w:rsidR="00D83B30" w:rsidRDefault="00000000">
      <w:pPr>
        <w:pStyle w:val="ListParagraph"/>
        <w:numPr>
          <w:ilvl w:val="0"/>
          <w:numId w:val="2"/>
        </w:numPr>
        <w:spacing w:before="80" w:after="80"/>
      </w:pPr>
      <w:r>
        <w:rPr>
          <w:b/>
          <w:bCs/>
        </w:rPr>
        <w:t xml:space="preserve">Picks-and-shovels names are the cleanest modality-agnostic exposure. </w:t>
      </w:r>
      <w:r>
        <w:t xml:space="preserve">Every quantum modality requires precision control electronics (KEYS), lasers for cooling and gates (COHR), cryogenic probe systems (FORM), and photonics/vacuum components (MKSI). NVIDIA's </w:t>
      </w:r>
      <w:proofErr w:type="spellStart"/>
      <w:r>
        <w:t>cuQuantum</w:t>
      </w:r>
      <w:proofErr w:type="spellEnd"/>
      <w:r>
        <w:t xml:space="preserve"> SDK and DGX Quantum platform position it as the hybrid GPU+QPU layer regardless of which hardware wins. These names benefit from total quantum R&amp;D spend without taking a modality bet, but quantum is a small share of revenue for each — exposure is incremental, not transformative.</w:t>
      </w:r>
    </w:p>
    <w:p w14:paraId="0822F63C" w14:textId="77777777" w:rsidR="00D83B30" w:rsidRDefault="00000000">
      <w:pPr>
        <w:pStyle w:val="ListParagraph"/>
        <w:numPr>
          <w:ilvl w:val="0"/>
          <w:numId w:val="2"/>
        </w:numPr>
        <w:spacing w:before="80" w:after="80"/>
      </w:pPr>
      <w:r>
        <w:rPr>
          <w:b/>
          <w:bCs/>
        </w:rPr>
        <w:t xml:space="preserve">Capital flows validate the theme ahead of public-equity recognition. </w:t>
      </w:r>
      <w:r>
        <w:t xml:space="preserve">McKinsey calls 2026 a 'commercial tipping point' with potential $2.7T in economic value across industries over the next decade. Private capital is well ahead — </w:t>
      </w:r>
      <w:proofErr w:type="spellStart"/>
      <w:r>
        <w:t>PsiQuantum</w:t>
      </w:r>
      <w:proofErr w:type="spellEnd"/>
      <w:r>
        <w:t xml:space="preserve"> building utility-scale photonic systems in Chicago and Brisbane ($1B program), Atom Computing partnered with Microsoft, and the pure-play IPO/SPAC pipeline accelerating (Xanadu listed March 2026, </w:t>
      </w:r>
      <w:proofErr w:type="spellStart"/>
      <w:r>
        <w:t>Infleqtion</w:t>
      </w:r>
      <w:proofErr w:type="spellEnd"/>
      <w:r>
        <w:t xml:space="preserve"> Feb 2026, </w:t>
      </w:r>
      <w:proofErr w:type="spellStart"/>
      <w:r>
        <w:t>Quantinuum</w:t>
      </w:r>
      <w:proofErr w:type="spellEnd"/>
      <w:r>
        <w:t xml:space="preserve"> filed). The theme is recognizable in the tape; the open question is which sub-bucket compounds best from here.</w:t>
      </w:r>
    </w:p>
    <w:p w14:paraId="404D1EEF" w14:textId="77777777" w:rsidR="00D83B30" w:rsidRDefault="00000000">
      <w:pPr>
        <w:spacing w:before="240" w:after="120"/>
      </w:pPr>
      <w:r>
        <w:rPr>
          <w:b/>
          <w:bCs/>
          <w:sz w:val="26"/>
          <w:szCs w:val="26"/>
        </w:rPr>
        <w:t>Catalysts to watch</w:t>
      </w:r>
    </w:p>
    <w:p w14:paraId="69A88712" w14:textId="77777777" w:rsidR="00D83B30" w:rsidRDefault="00000000">
      <w:pPr>
        <w:pStyle w:val="ListParagraph"/>
        <w:numPr>
          <w:ilvl w:val="0"/>
          <w:numId w:val="2"/>
        </w:numPr>
        <w:spacing w:before="80" w:after="80"/>
      </w:pPr>
      <w:proofErr w:type="spellStart"/>
      <w:r>
        <w:rPr>
          <w:b/>
          <w:bCs/>
        </w:rPr>
        <w:t>Quantinuum</w:t>
      </w:r>
      <w:proofErr w:type="spellEnd"/>
      <w:r>
        <w:rPr>
          <w:b/>
          <w:bCs/>
        </w:rPr>
        <w:t xml:space="preserve"> IPO pricing. </w:t>
      </w:r>
      <w:r>
        <w:t xml:space="preserve">Filed via Morgan Stanley joint lead; pricing crystallizes the largest private quantum valuation into a public mark and provides a direct public-equity proxy for trapped-ion leadership. Would also crystallize </w:t>
      </w:r>
      <w:proofErr w:type="gramStart"/>
      <w:r>
        <w:t>HON's</w:t>
      </w:r>
      <w:proofErr w:type="gramEnd"/>
      <w:r>
        <w:t xml:space="preserve"> retained-stake value. Watch the float and lockup structure — a wide free float would tighten correlation with other pure-plays; a tight float could compress modality-spread trades.</w:t>
      </w:r>
    </w:p>
    <w:p w14:paraId="0152ABFD" w14:textId="77777777" w:rsidR="00D83B30" w:rsidRDefault="00000000">
      <w:pPr>
        <w:pStyle w:val="ListParagraph"/>
        <w:numPr>
          <w:ilvl w:val="0"/>
          <w:numId w:val="2"/>
        </w:numPr>
        <w:spacing w:before="80" w:after="80"/>
      </w:pPr>
      <w:r>
        <w:rPr>
          <w:b/>
          <w:bCs/>
        </w:rPr>
        <w:lastRenderedPageBreak/>
        <w:t xml:space="preserve">First quantum pure-play reports profitability or material commercial revenue inflection. </w:t>
      </w:r>
      <w:proofErr w:type="spellStart"/>
      <w:r>
        <w:t>IonQ's</w:t>
      </w:r>
      <w:proofErr w:type="spellEnd"/>
      <w:r>
        <w:t xml:space="preserve"> $100M GAAP revenue milestone is the bar to clear. Next inflection point is positive operating income or gross margin disclosure that proves the unit economics, not just topline. Until then, pure-plays trade on roadmap milestones and qubit-count announcements, not earnings.</w:t>
      </w:r>
    </w:p>
    <w:p w14:paraId="5B9CB258" w14:textId="77777777" w:rsidR="00D83B30" w:rsidRDefault="00000000">
      <w:pPr>
        <w:pStyle w:val="ListParagraph"/>
        <w:numPr>
          <w:ilvl w:val="0"/>
          <w:numId w:val="2"/>
        </w:numPr>
        <w:spacing w:before="80" w:after="80"/>
      </w:pPr>
      <w:r>
        <w:rPr>
          <w:b/>
          <w:bCs/>
        </w:rPr>
        <w:t xml:space="preserve">Logical-qubit milestone — 100 fault-tolerant logical qubits demonstrated at scale. </w:t>
      </w:r>
      <w:r>
        <w:t xml:space="preserve">Bain and others frame this as the practical-advantage threshold around 2028–2029. </w:t>
      </w:r>
      <w:proofErr w:type="spellStart"/>
      <w:r>
        <w:t>Microsoft+Atom</w:t>
      </w:r>
      <w:proofErr w:type="spellEnd"/>
      <w:r>
        <w:t xml:space="preserve"> Computing has demonstrated 24 entangled logical qubits; </w:t>
      </w:r>
      <w:proofErr w:type="spellStart"/>
      <w:r>
        <w:t>Quantinuum's</w:t>
      </w:r>
      <w:proofErr w:type="spellEnd"/>
      <w:r>
        <w:t xml:space="preserve"> Helios runs at 48 logical. A demonstrated path from tens to </w:t>
      </w:r>
      <w:proofErr w:type="gramStart"/>
      <w:r>
        <w:t>low-hundreds</w:t>
      </w:r>
      <w:proofErr w:type="gramEnd"/>
      <w:r>
        <w:t xml:space="preserve"> of logical qubits would compress timelines materially across the entire theme.</w:t>
      </w:r>
    </w:p>
    <w:p w14:paraId="2572C4F8" w14:textId="77777777" w:rsidR="00D83B30" w:rsidRDefault="00000000">
      <w:pPr>
        <w:pStyle w:val="ListParagraph"/>
        <w:numPr>
          <w:ilvl w:val="0"/>
          <w:numId w:val="2"/>
        </w:numPr>
        <w:spacing w:before="80" w:after="80"/>
      </w:pPr>
      <w:r>
        <w:rPr>
          <w:b/>
          <w:bCs/>
        </w:rPr>
        <w:t xml:space="preserve">Modality winner signal — DARPA QBI Stage B selections, customer concentration in one architecture. </w:t>
      </w:r>
      <w:r>
        <w:t xml:space="preserve">DARPA's Quantum Benchmarking Initiative Stage B selected IBM, </w:t>
      </w:r>
      <w:proofErr w:type="spellStart"/>
      <w:r>
        <w:t>Quantinuum</w:t>
      </w:r>
      <w:proofErr w:type="spellEnd"/>
      <w:r>
        <w:t xml:space="preserve">, and </w:t>
      </w:r>
      <w:proofErr w:type="spellStart"/>
      <w:r>
        <w:t>IonQ</w:t>
      </w:r>
      <w:proofErr w:type="spellEnd"/>
      <w:r>
        <w:t>; Google notably absent. Subsequent stage advancements, large customer wins concentrated in one modality, or a major retrenchment by a lagging modality would create the first defensible 'modality winner' thesis. Today, intellectual honesty requires keeping exposure across modalities.</w:t>
      </w:r>
    </w:p>
    <w:p w14:paraId="3EFB2BB8" w14:textId="77777777" w:rsidR="00D83B30" w:rsidRDefault="00000000">
      <w:pPr>
        <w:pStyle w:val="ListParagraph"/>
        <w:numPr>
          <w:ilvl w:val="0"/>
          <w:numId w:val="2"/>
        </w:numPr>
        <w:spacing w:before="80" w:after="80"/>
      </w:pPr>
      <w:proofErr w:type="spellStart"/>
      <w:r>
        <w:rPr>
          <w:b/>
          <w:bCs/>
        </w:rPr>
        <w:t>Hyperscaler</w:t>
      </w:r>
      <w:proofErr w:type="spellEnd"/>
      <w:r>
        <w:rPr>
          <w:b/>
          <w:bCs/>
        </w:rPr>
        <w:t xml:space="preserve"> quantum disclosure — first earnings-call line item for quantum revenue or pipeline. </w:t>
      </w:r>
      <w:r>
        <w:t xml:space="preserve">IBM is most likely to break out PQC-and-quantum bookings first given its enterprise sales motion. The first quarter any </w:t>
      </w:r>
      <w:proofErr w:type="spellStart"/>
      <w:r>
        <w:t>hyperscaler</w:t>
      </w:r>
      <w:proofErr w:type="spellEnd"/>
      <w:r>
        <w:t xml:space="preserve"> discloses material quantum-attributable revenue is the inflection point that pulls public-market attention back to the picks-and-shovels and </w:t>
      </w:r>
      <w:proofErr w:type="spellStart"/>
      <w:r>
        <w:t>hyperscaler</w:t>
      </w:r>
      <w:proofErr w:type="spellEnd"/>
      <w:r>
        <w:t xml:space="preserve"> buckets.</w:t>
      </w:r>
    </w:p>
    <w:p w14:paraId="44C91294" w14:textId="77777777" w:rsidR="00D83B30" w:rsidRDefault="00000000">
      <w:pPr>
        <w:pStyle w:val="ListParagraph"/>
        <w:numPr>
          <w:ilvl w:val="0"/>
          <w:numId w:val="2"/>
        </w:numPr>
        <w:spacing w:before="80" w:after="80"/>
      </w:pPr>
      <w:r>
        <w:rPr>
          <w:b/>
          <w:bCs/>
        </w:rPr>
        <w:t xml:space="preserve">Verified Shor's algorithm at scale — a cryptographically relevant quantum computer (CRQC). </w:t>
      </w:r>
      <w:proofErr w:type="gramStart"/>
      <w:r>
        <w:t>Would</w:t>
      </w:r>
      <w:proofErr w:type="gramEnd"/>
      <w:r>
        <w:t xml:space="preserve"> shift this theme from tailwind-only to a mixed picture and create the explicit Quantum Disruption of Encryption headwind theme that PQC Migration partially anticipates. Compresses the entire PQC timeline and creates urgent demand-pull for both this theme and PQC.</w:t>
      </w:r>
    </w:p>
    <w:p w14:paraId="70DA7E58" w14:textId="77777777" w:rsidR="00D83B30" w:rsidRDefault="00000000">
      <w:pPr>
        <w:spacing w:before="240" w:after="120"/>
      </w:pPr>
      <w:r>
        <w:rPr>
          <w:b/>
          <w:bCs/>
          <w:sz w:val="26"/>
          <w:szCs w:val="26"/>
        </w:rPr>
        <w:t>Market Dynamic, Direction, Time Horizon, and Conviction</w:t>
      </w:r>
    </w:p>
    <w:p w14:paraId="092DFA39" w14:textId="77777777" w:rsidR="00D83B30" w:rsidRDefault="00000000">
      <w:pPr>
        <w:spacing w:before="80" w:after="120"/>
      </w:pPr>
      <w:r>
        <w:t xml:space="preserve">Quantum is a recognized but not-yet-dominant theme as of May 2026. The dynamic is a structural </w:t>
      </w:r>
      <w:r>
        <w:rPr>
          <w:b/>
          <w:bCs/>
        </w:rPr>
        <w:t>tailwind</w:t>
      </w:r>
      <w:r>
        <w:t xml:space="preserve"> across the value chain, but with highly differentiated revenue timing by bucket. Commercial advantage is </w:t>
      </w:r>
      <w:r>
        <w:rPr>
          <w:b/>
          <w:bCs/>
        </w:rPr>
        <w:t>5–15 years</w:t>
      </w:r>
      <w:r>
        <w:t xml:space="preserve"> out at the application layer; capital and engineering spend is happening today. Theme </w:t>
      </w:r>
      <w:r>
        <w:rPr>
          <w:b/>
          <w:bCs/>
        </w:rPr>
        <w:t>conviction is Medium</w:t>
      </w:r>
      <w:r>
        <w:t xml:space="preserve"> — the force is real and the trajectory is increasingly visible, but modality winners and commercial-advantage timing remain genuinely uncertain. The cleanest exposure is the picks-and-shovels bucket, where revenue today is modality-agnostic; the highest beta is the pure-play platforms; the safest optionality is the </w:t>
      </w:r>
      <w:proofErr w:type="spellStart"/>
      <w:r>
        <w:t>hyperscaler</w:t>
      </w:r>
      <w:proofErr w:type="spellEnd"/>
      <w:r>
        <w:t xml:space="preserve"> bucket where quantum is a small share of enterprise value. Position sizing should reflect this asymmetry.</w:t>
      </w:r>
    </w:p>
    <w:p w14:paraId="43E500BF" w14:textId="77777777" w:rsidR="00D83B30" w:rsidRDefault="00000000">
      <w:pPr>
        <w:spacing w:before="240" w:after="120"/>
      </w:pPr>
      <w:r>
        <w:rPr>
          <w:b/>
          <w:bCs/>
          <w:sz w:val="26"/>
          <w:szCs w:val="26"/>
        </w:rPr>
        <w:t xml:space="preserve">Key leaders to watch (not </w:t>
      </w:r>
      <w:proofErr w:type="gramStart"/>
      <w:r>
        <w:rPr>
          <w:b/>
          <w:bCs/>
          <w:sz w:val="26"/>
          <w:szCs w:val="26"/>
        </w:rPr>
        <w:t>exhaustive —</w:t>
      </w:r>
      <w:proofErr w:type="gramEnd"/>
      <w:r>
        <w:rPr>
          <w:b/>
          <w:bCs/>
          <w:sz w:val="26"/>
          <w:szCs w:val="26"/>
        </w:rPr>
        <w:t xml:space="preserve"> see Neo4j for full list)</w:t>
      </w:r>
    </w:p>
    <w:p w14:paraId="435A8763" w14:textId="77777777" w:rsidR="00D83B30" w:rsidRDefault="00000000">
      <w:pPr>
        <w:pStyle w:val="ListParagraph"/>
        <w:numPr>
          <w:ilvl w:val="0"/>
          <w:numId w:val="2"/>
        </w:numPr>
        <w:spacing w:before="60" w:after="60"/>
      </w:pPr>
      <w:proofErr w:type="spellStart"/>
      <w:r>
        <w:rPr>
          <w:b/>
          <w:bCs/>
        </w:rPr>
        <w:t>Hyperscalers</w:t>
      </w:r>
      <w:proofErr w:type="spellEnd"/>
      <w:r>
        <w:rPr>
          <w:b/>
          <w:bCs/>
        </w:rPr>
        <w:t xml:space="preserve"> and strategic incumbents: </w:t>
      </w:r>
      <w:r>
        <w:t xml:space="preserve">IBM (deepest enterprise pipeline; Heron/Eagle/Osprey roadmap targeting 100,000 qubits by 2033; </w:t>
      </w:r>
      <w:proofErr w:type="spellStart"/>
      <w:r>
        <w:t>Qiskit</w:t>
      </w:r>
      <w:proofErr w:type="spellEnd"/>
      <w:r>
        <w:t xml:space="preserve"> ecosystem; DARPA QBI Stage B). Honeywell (HON) — direct equity exposure via retained </w:t>
      </w:r>
      <w:proofErr w:type="spellStart"/>
      <w:r>
        <w:t>Quantinuum</w:t>
      </w:r>
      <w:proofErr w:type="spellEnd"/>
      <w:r>
        <w:t xml:space="preserve"> stake. Alphabet (</w:t>
      </w:r>
      <w:proofErr w:type="gramStart"/>
      <w:r>
        <w:t>GOOGL) —</w:t>
      </w:r>
      <w:proofErr w:type="gramEnd"/>
      <w:r>
        <w:t xml:space="preserve"> Willow chip delivered the first verifiable quantum advantage in Oct 2025. Microsoft (</w:t>
      </w:r>
      <w:proofErr w:type="gramStart"/>
      <w:r>
        <w:t>MSFT) —</w:t>
      </w:r>
      <w:proofErr w:type="gramEnd"/>
      <w:r>
        <w:t xml:space="preserve"> Azure Quantum orchestration layer plus Majorana topological qubit research. Amazon (AMZN) — </w:t>
      </w:r>
      <w:proofErr w:type="spellStart"/>
      <w:r>
        <w:t>Braket</w:t>
      </w:r>
      <w:proofErr w:type="spellEnd"/>
      <w:r>
        <w:t xml:space="preserve"> as modality-neutral cloud broker. Intel and Alibaba are present but furthest from commercial revenue.</w:t>
      </w:r>
    </w:p>
    <w:p w14:paraId="0308BF4E" w14:textId="77777777" w:rsidR="00D83B30" w:rsidRDefault="00000000">
      <w:pPr>
        <w:pStyle w:val="ListParagraph"/>
        <w:numPr>
          <w:ilvl w:val="0"/>
          <w:numId w:val="2"/>
        </w:numPr>
        <w:spacing w:before="60" w:after="60"/>
      </w:pPr>
      <w:r>
        <w:rPr>
          <w:b/>
          <w:bCs/>
        </w:rPr>
        <w:t xml:space="preserve">Pure-play platforms: </w:t>
      </w:r>
      <w:proofErr w:type="spellStart"/>
      <w:r>
        <w:t>Quantinuum</w:t>
      </w:r>
      <w:proofErr w:type="spellEnd"/>
      <w:r>
        <w:t xml:space="preserve"> (QNT, IPO </w:t>
      </w:r>
      <w:proofErr w:type="gramStart"/>
      <w:r>
        <w:t>pending) —</w:t>
      </w:r>
      <w:proofErr w:type="gramEnd"/>
      <w:r>
        <w:t xml:space="preserve"> vertically integrated trapped-ion leader, Helios at 48 logical qubits, DARPA QBI Stage B. </w:t>
      </w:r>
      <w:proofErr w:type="spellStart"/>
      <w:r>
        <w:t>IonQ</w:t>
      </w:r>
      <w:proofErr w:type="spellEnd"/>
      <w:r>
        <w:t xml:space="preserve"> (</w:t>
      </w:r>
      <w:proofErr w:type="gramStart"/>
      <w:r>
        <w:t>IONQ) —</w:t>
      </w:r>
      <w:proofErr w:type="gramEnd"/>
      <w:r>
        <w:t xml:space="preserve"> </w:t>
      </w:r>
      <w:proofErr w:type="gramStart"/>
      <w:r>
        <w:t>first quantum</w:t>
      </w:r>
      <w:proofErr w:type="gramEnd"/>
      <w:r>
        <w:t xml:space="preserve"> pure-play past $100M GAAP revenue, post-Oxford Ionics roadmap targeting 256 physical qubits in 2026. D-Wave (</w:t>
      </w:r>
      <w:proofErr w:type="gramStart"/>
      <w:r>
        <w:t>QBTS) —</w:t>
      </w:r>
      <w:proofErr w:type="gramEnd"/>
      <w:r>
        <w:t xml:space="preserve"> dual-platform (annealing in production; gate-model planned 2026). </w:t>
      </w:r>
      <w:proofErr w:type="spellStart"/>
      <w:r>
        <w:t>Rigetti</w:t>
      </w:r>
      <w:proofErr w:type="spellEnd"/>
      <w:r>
        <w:t xml:space="preserve"> </w:t>
      </w:r>
      <w:r>
        <w:lastRenderedPageBreak/>
        <w:t>(</w:t>
      </w:r>
      <w:proofErr w:type="gramStart"/>
      <w:r>
        <w:t>RGTI) —</w:t>
      </w:r>
      <w:proofErr w:type="gramEnd"/>
      <w:r>
        <w:t xml:space="preserve"> superconducting chiplet architecture. Quantum Computing Inc. (</w:t>
      </w:r>
      <w:proofErr w:type="gramStart"/>
      <w:r>
        <w:t>QUBT) —</w:t>
      </w:r>
      <w:proofErr w:type="gramEnd"/>
      <w:r>
        <w:t xml:space="preserve"> photonic, smallest and most speculative.</w:t>
      </w:r>
    </w:p>
    <w:p w14:paraId="019FBAC1" w14:textId="77777777" w:rsidR="00D83B30" w:rsidRDefault="00000000">
      <w:pPr>
        <w:pStyle w:val="ListParagraph"/>
        <w:numPr>
          <w:ilvl w:val="0"/>
          <w:numId w:val="2"/>
        </w:numPr>
        <w:spacing w:before="60" w:after="60"/>
      </w:pPr>
      <w:r>
        <w:rPr>
          <w:b/>
          <w:bCs/>
        </w:rPr>
        <w:t xml:space="preserve">Picks and shovels: </w:t>
      </w:r>
      <w:r>
        <w:t>Keysight (</w:t>
      </w:r>
      <w:proofErr w:type="gramStart"/>
      <w:r>
        <w:t>KEYS) —</w:t>
      </w:r>
      <w:proofErr w:type="gramEnd"/>
      <w:r>
        <w:t xml:space="preserve"> precision control electronics, modality-agnostic. Coherent (</w:t>
      </w:r>
      <w:proofErr w:type="gramStart"/>
      <w:r>
        <w:t>COHR) —</w:t>
      </w:r>
      <w:proofErr w:type="gramEnd"/>
      <w:r>
        <w:t xml:space="preserve"> lasers for trapped-ion and neutral-atom systems. </w:t>
      </w:r>
      <w:proofErr w:type="spellStart"/>
      <w:r>
        <w:t>FormFactor</w:t>
      </w:r>
      <w:proofErr w:type="spellEnd"/>
      <w:r>
        <w:t xml:space="preserve"> (</w:t>
      </w:r>
      <w:proofErr w:type="gramStart"/>
      <w:r>
        <w:t>FORM) —</w:t>
      </w:r>
      <w:proofErr w:type="gramEnd"/>
      <w:r>
        <w:t xml:space="preserve"> near-monopoly in cryogenic probe systems for superconducting qubits. NVIDIA (</w:t>
      </w:r>
      <w:proofErr w:type="gramStart"/>
      <w:r>
        <w:t>NVDA) —</w:t>
      </w:r>
      <w:proofErr w:type="gramEnd"/>
      <w:r>
        <w:t xml:space="preserve"> </w:t>
      </w:r>
      <w:proofErr w:type="spellStart"/>
      <w:r>
        <w:t>cuQuantum</w:t>
      </w:r>
      <w:proofErr w:type="spellEnd"/>
      <w:r>
        <w:t xml:space="preserve"> SDK, DGX Quantum hybrid platform, invested in </w:t>
      </w:r>
      <w:proofErr w:type="spellStart"/>
      <w:r>
        <w:t>PsiQuantum</w:t>
      </w:r>
      <w:proofErr w:type="spellEnd"/>
      <w:r>
        <w:t>. MKS Inc. (</w:t>
      </w:r>
      <w:proofErr w:type="gramStart"/>
      <w:r>
        <w:t>MKSI) —</w:t>
      </w:r>
      <w:proofErr w:type="gramEnd"/>
      <w:r>
        <w:t xml:space="preserve"> photonics and vacuum components.</w:t>
      </w:r>
    </w:p>
    <w:p w14:paraId="67CC200E" w14:textId="77777777" w:rsidR="00D83B30" w:rsidRDefault="00000000">
      <w:pPr>
        <w:pStyle w:val="ListParagraph"/>
        <w:numPr>
          <w:ilvl w:val="0"/>
          <w:numId w:val="2"/>
        </w:numPr>
        <w:spacing w:before="60" w:after="60"/>
      </w:pPr>
      <w:r>
        <w:rPr>
          <w:b/>
          <w:bCs/>
        </w:rPr>
        <w:t xml:space="preserve">Private companies to monitor: </w:t>
      </w:r>
      <w:proofErr w:type="spellStart"/>
      <w:r>
        <w:t>PsiQuantum</w:t>
      </w:r>
      <w:proofErr w:type="spellEnd"/>
      <w:r>
        <w:t xml:space="preserve"> (utility-scale photonic; $1B Chicago/Brisbane buildout; NVIDIA-backed). Atom Computing (neutral-atom; nuclear-spin qubits in strontium; Microsoft and DARPA partnerships; 24 entangled logical qubits achieved). QuEra (</w:t>
      </w:r>
      <w:proofErr w:type="gramStart"/>
      <w:r>
        <w:t>neutral-atom</w:t>
      </w:r>
      <w:proofErr w:type="gramEnd"/>
      <w:r>
        <w:t xml:space="preserve">; AIST Japan deployment). </w:t>
      </w:r>
      <w:proofErr w:type="spellStart"/>
      <w:r>
        <w:t>Pasqal</w:t>
      </w:r>
      <w:proofErr w:type="spellEnd"/>
      <w:r>
        <w:t xml:space="preserve"> (neutral-atom, French). IQM (Finnish; listed Feb 2026 — first European pure-play). Xanadu (photonic; listed March 2026 via SPAC). </w:t>
      </w:r>
      <w:proofErr w:type="spellStart"/>
      <w:r>
        <w:t>Infleqtion</w:t>
      </w:r>
      <w:proofErr w:type="spellEnd"/>
      <w:r>
        <w:t xml:space="preserve"> (listed Feb 2026).</w:t>
      </w:r>
    </w:p>
    <w:p w14:paraId="1CF6B4CA" w14:textId="77777777" w:rsidR="00D83B30" w:rsidRDefault="00000000">
      <w:pPr>
        <w:spacing w:before="240" w:after="120"/>
      </w:pPr>
      <w:r>
        <w:rPr>
          <w:b/>
          <w:bCs/>
          <w:sz w:val="26"/>
          <w:szCs w:val="26"/>
        </w:rPr>
        <w:t>Sub-theme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660"/>
      </w:tblGrid>
      <w:tr w:rsidR="00D83B30" w14:paraId="59379473"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826BD8" w14:textId="77777777" w:rsidR="00D83B30" w:rsidRDefault="00000000">
            <w:r>
              <w:rPr>
                <w:b/>
                <w:bCs/>
              </w:rPr>
              <w:t>Sub-theme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701BBB" w14:textId="77777777" w:rsidR="00D83B30" w:rsidRDefault="00000000">
            <w:r>
              <w:rPr>
                <w:b/>
                <w:bCs/>
              </w:rPr>
              <w:t>Driver</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E49BBE" w14:textId="77777777" w:rsidR="00D83B30" w:rsidRDefault="00000000">
            <w:r>
              <w:rPr>
                <w:b/>
                <w:bCs/>
              </w:rPr>
              <w:t>Public-equity surface</w:t>
            </w:r>
          </w:p>
        </w:tc>
      </w:tr>
      <w:tr w:rsidR="00D83B30" w14:paraId="1888C82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E41B" w14:textId="77777777" w:rsidR="00D83B30" w:rsidRDefault="00000000">
            <w:proofErr w:type="spellStart"/>
            <w:r>
              <w:t>Hyperscaler</w:t>
            </w:r>
            <w:proofErr w:type="spellEnd"/>
            <w:r>
              <w:t xml:space="preserve"> and Strategic Programs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C1F6" w14:textId="77777777" w:rsidR="00D83B30" w:rsidRDefault="00000000">
            <w:r>
              <w:t>Big-tech and strategic incumbents with active quantum R&amp;D. Quantum is peripheral to enterprise value but provides optionality plus research-credibility moat.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2F8A0" w14:textId="77777777" w:rsidR="00D83B30" w:rsidRDefault="00000000">
            <w:r>
              <w:t xml:space="preserve">Broad and liquid — IBM, GOOGL, MSFT, AMZN, HON, INTC, BABA. Quantum is a small share of revenue for each; exposure is asymmetric optionality. HON is the cleanest direct-stake play via </w:t>
            </w:r>
            <w:proofErr w:type="spellStart"/>
            <w:r>
              <w:t>Quantinuum</w:t>
            </w:r>
            <w:proofErr w:type="spellEnd"/>
            <w:r>
              <w:t>.</w:t>
            </w:r>
          </w:p>
        </w:tc>
      </w:tr>
      <w:tr w:rsidR="00D83B30" w14:paraId="2055202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33238" w14:textId="77777777" w:rsidR="00D83B30" w:rsidRDefault="00000000">
            <w:r>
              <w:t>Pure-Play Platforms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A8093" w14:textId="77777777" w:rsidR="00D83B30" w:rsidRDefault="00000000">
            <w:r>
              <w:t xml:space="preserve">Public companies whose business is primarily quantum hardware and platforms. High </w:t>
            </w:r>
            <w:proofErr w:type="gramStart"/>
            <w:r>
              <w:t>beta</w:t>
            </w:r>
            <w:proofErr w:type="gramEnd"/>
            <w:r>
              <w:t xml:space="preserve"> to the theme; durability is the open question.</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34AB0" w14:textId="77777777" w:rsidR="00D83B30" w:rsidRDefault="00000000">
            <w:r>
              <w:t>Five public names today (IONQ, QBTS, RGTI, QUBT, plus QNT pre-IPO); pure-play count growing via IPO/SPAC pipeline. Modality bets implicit. High-volatility, roadmap-driven trading.</w:t>
            </w:r>
          </w:p>
        </w:tc>
      </w:tr>
      <w:tr w:rsidR="00D83B30" w14:paraId="48D0B86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E2B76" w14:textId="77777777" w:rsidR="00D83B30" w:rsidRDefault="00000000">
            <w:r>
              <w:t>Picks and Shovels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644C8" w14:textId="77777777" w:rsidR="00D83B30" w:rsidRDefault="00000000">
            <w:r>
              <w:t>Test and measurement, lasers, cryogenics, photonics components, and hybrid GPU infrastructure. Modality-agnostic; benefits from total R&amp;D spend.</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96A52" w14:textId="77777777" w:rsidR="00D83B30" w:rsidRDefault="00000000">
            <w:r>
              <w:t xml:space="preserve">Cleanest modality-agnostic exposure — KEYS, COHR, FORM </w:t>
            </w:r>
            <w:proofErr w:type="gramStart"/>
            <w:r>
              <w:t>are</w:t>
            </w:r>
            <w:proofErr w:type="gramEnd"/>
            <w:r>
              <w:t xml:space="preserve"> most concentrated; NVDA and MKSI add scale at lower theme-purity. Quantum is incremental for each, not transformative.</w:t>
            </w:r>
          </w:p>
        </w:tc>
      </w:tr>
    </w:tbl>
    <w:p w14:paraId="0A4062DA" w14:textId="77777777" w:rsidR="00D83B30" w:rsidRDefault="00000000">
      <w:pPr>
        <w:spacing w:before="240" w:after="120"/>
      </w:pPr>
      <w:r>
        <w:rPr>
          <w:b/>
          <w:bCs/>
          <w:sz w:val="26"/>
          <w:szCs w:val="26"/>
        </w:rPr>
        <w:t>Theme Database Structure Related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83B30" w14:paraId="283B18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D0794" w14:textId="77777777" w:rsidR="00D83B30" w:rsidRDefault="00000000">
            <w:r>
              <w:rPr>
                <w:b/>
                <w:bCs/>
              </w:rPr>
              <w:t>Topic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8B66B" w14:textId="77777777" w:rsidR="00D83B30" w:rsidRDefault="00000000">
            <w:r>
              <w:t>Quantum (tagged via TAGGED_AS to umbrella QUANTUM topic node; tag applied to L1 parent only)</w:t>
            </w:r>
          </w:p>
        </w:tc>
      </w:tr>
      <w:tr w:rsidR="00D83B30" w14:paraId="5E327E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ACF4E" w14:textId="77777777" w:rsidR="00D83B30" w:rsidRDefault="00000000">
            <w:r>
              <w:rPr>
                <w:b/>
                <w:bCs/>
              </w:rPr>
              <w:t>Theme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FF18C" w14:textId="77777777" w:rsidR="00D83B30" w:rsidRDefault="00000000">
            <w:r>
              <w:t>Level 1 (parent), with 3 Level 2 sub-themes</w:t>
            </w:r>
          </w:p>
        </w:tc>
      </w:tr>
      <w:tr w:rsidR="00D83B30" w14:paraId="73AF8A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62F85" w14:textId="77777777" w:rsidR="00D83B30" w:rsidRDefault="00000000">
            <w:r>
              <w:rPr>
                <w:b/>
                <w:bCs/>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E700" w14:textId="77777777" w:rsidR="00D83B30" w:rsidRDefault="00000000">
            <w:r>
              <w:t>Active</w:t>
            </w:r>
          </w:p>
        </w:tc>
      </w:tr>
      <w:tr w:rsidR="00D83B30" w14:paraId="3F951E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B8202" w14:textId="77777777" w:rsidR="00D83B30" w:rsidRDefault="00000000">
            <w:r>
              <w:rPr>
                <w:b/>
                <w:bCs/>
              </w:rPr>
              <w:t>Conviction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7437F" w14:textId="77777777" w:rsidR="00D83B30" w:rsidRDefault="00000000">
            <w:r>
              <w:t>Medium (force is real; modality winners and timing to commercial advantage remain genuinely uncertain)</w:t>
            </w:r>
          </w:p>
        </w:tc>
      </w:tr>
      <w:tr w:rsidR="00D83B30" w14:paraId="4A6E10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0EE25" w14:textId="77777777" w:rsidR="00D83B30" w:rsidRDefault="00000000">
            <w:r>
              <w:rPr>
                <w:b/>
                <w:bCs/>
              </w:rPr>
              <w:t>Time horizon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D7C2" w14:textId="77777777" w:rsidR="00D83B30" w:rsidRDefault="00000000">
            <w:r>
              <w:t>5+ years to commercial advantage; capital and engineering spend already underway</w:t>
            </w:r>
          </w:p>
        </w:tc>
      </w:tr>
      <w:tr w:rsidR="00D83B30" w14:paraId="39F5C2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B6F8A" w14:textId="77777777" w:rsidR="00D83B30" w:rsidRDefault="00000000">
            <w:r>
              <w:rPr>
                <w:b/>
                <w:bCs/>
              </w:rPr>
              <w:lastRenderedPageBreak/>
              <w:t>Companies (aggregated)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30A7A" w14:textId="77777777" w:rsidR="00D83B30" w:rsidRDefault="00000000">
            <w:r>
              <w:t xml:space="preserve">17 EXPOSED_TO edges via children: 7 </w:t>
            </w:r>
            <w:proofErr w:type="spellStart"/>
            <w:r>
              <w:t>Hyperscaler</w:t>
            </w:r>
            <w:proofErr w:type="spellEnd"/>
            <w:r>
              <w:t xml:space="preserve"> / 5 Pure-Play / 5 Picks-and-Shovels</w:t>
            </w:r>
          </w:p>
        </w:tc>
      </w:tr>
      <w:tr w:rsidR="00D83B30" w14:paraId="3D44F3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86DEE" w14:textId="77777777" w:rsidR="00D83B30" w:rsidRDefault="00000000">
            <w:r>
              <w:rPr>
                <w:b/>
                <w:bCs/>
              </w:rPr>
              <w:t>Related themes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E14E9" w14:textId="77777777" w:rsidR="00D83B30" w:rsidRDefault="00000000">
            <w:r>
              <w:t>Tagged QUANTUM topic alongside Post-Quantum Cryptography Migration. No CHILD_OF or RELATES_TO links to other themes — quantum computing benefits and PQC migration are economically independent theses (different drivers, different beneficiary lists) and are connected via TAGGED_AS, not hierarchy.</w:t>
            </w:r>
          </w:p>
        </w:tc>
      </w:tr>
      <w:tr w:rsidR="00D83B30" w14:paraId="1965FC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01394" w14:textId="77777777" w:rsidR="00D83B30" w:rsidRDefault="00000000">
            <w:r>
              <w:rPr>
                <w:b/>
                <w:bCs/>
              </w:rPr>
              <w:t>Pre-IPO handling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BDF64" w14:textId="77777777" w:rsidR="00D83B30" w:rsidRDefault="00000000">
            <w:r>
              <w:t xml:space="preserve">QNT US Equity added as a Company node despite being pre-IPO; carries </w:t>
            </w:r>
            <w:proofErr w:type="spellStart"/>
            <w:r>
              <w:t>listing_status</w:t>
            </w:r>
            <w:proofErr w:type="spellEnd"/>
            <w:r>
              <w:t xml:space="preserve"> = "Pre-IPO" and no GICS classification edges until refreshed universe CSV after pricing.</w:t>
            </w:r>
          </w:p>
        </w:tc>
      </w:tr>
    </w:tbl>
    <w:p w14:paraId="788A5BC4" w14:textId="77777777" w:rsidR="00D83B30" w:rsidRDefault="00000000">
      <w:pPr>
        <w:spacing w:before="240" w:after="120"/>
      </w:pPr>
      <w:r>
        <w:rPr>
          <w:b/>
          <w:bCs/>
          <w:sz w:val="26"/>
          <w:szCs w:val="26"/>
        </w:rPr>
        <w:t>Caveats and discipline notes</w:t>
      </w:r>
    </w:p>
    <w:p w14:paraId="6EEF6377" w14:textId="77777777" w:rsidR="00D83B30" w:rsidRDefault="00000000">
      <w:pPr>
        <w:pStyle w:val="ListParagraph"/>
        <w:numPr>
          <w:ilvl w:val="0"/>
          <w:numId w:val="2"/>
        </w:numPr>
        <w:spacing w:before="60" w:after="60"/>
      </w:pPr>
      <w:r>
        <w:t>Modality competition is unresolved. Today's hierarchy groups all pure-</w:t>
      </w:r>
      <w:proofErr w:type="gramStart"/>
      <w:r>
        <w:t>plays</w:t>
      </w:r>
      <w:proofErr w:type="gramEnd"/>
      <w:r>
        <w:t xml:space="preserve"> under one sub-theme; if a clear modality winner emerges (trapped-ion, superconducting, neutral-atom, or photonic), a third hierarchy level by modality may be warranted. Avoid building modality conviction into the graph prematurely.</w:t>
      </w:r>
    </w:p>
    <w:p w14:paraId="70C7B068" w14:textId="77777777" w:rsidR="00D83B30" w:rsidRDefault="00000000">
      <w:pPr>
        <w:pStyle w:val="ListParagraph"/>
        <w:numPr>
          <w:ilvl w:val="0"/>
          <w:numId w:val="2"/>
        </w:numPr>
        <w:spacing w:before="60" w:after="60"/>
      </w:pPr>
      <w:r>
        <w:t xml:space="preserve">Pure-play platforms carry individual company durability risk. Pre-revenue (or sub-scale revenue) names with significant cash </w:t>
      </w:r>
      <w:proofErr w:type="gramStart"/>
      <w:r>
        <w:t>burn</w:t>
      </w:r>
      <w:proofErr w:type="gramEnd"/>
      <w:r>
        <w:t xml:space="preserve"> can lose 80%+ on a missed roadmap milestone or modality reversal. Edge strength = "Core" reflects theme purity, not balance-sheet quality. Position sizing should reflect this separately.</w:t>
      </w:r>
    </w:p>
    <w:p w14:paraId="37C78071" w14:textId="77777777" w:rsidR="00D83B30" w:rsidRDefault="00000000">
      <w:pPr>
        <w:pStyle w:val="ListParagraph"/>
        <w:numPr>
          <w:ilvl w:val="0"/>
          <w:numId w:val="2"/>
        </w:numPr>
        <w:spacing w:before="60" w:after="60"/>
      </w:pPr>
      <w:proofErr w:type="spellStart"/>
      <w:r>
        <w:t>Hyperscaler</w:t>
      </w:r>
      <w:proofErr w:type="spellEnd"/>
      <w:r>
        <w:t xml:space="preserve"> exposure is </w:t>
      </w:r>
      <w:proofErr w:type="gramStart"/>
      <w:r>
        <w:t>optionality</w:t>
      </w:r>
      <w:proofErr w:type="gramEnd"/>
      <w:r>
        <w:t>, not a revenue line. Don't confuse the strategic positioning narrative with quarterly P&amp;L impact. Quantum is a rounding error of revenue for GOOGL, MSFT, AMZN, NVDA — these names should not be owned for quantum exposure alone.</w:t>
      </w:r>
    </w:p>
    <w:p w14:paraId="7B972FDC" w14:textId="77777777" w:rsidR="00D83B30" w:rsidRDefault="00000000">
      <w:pPr>
        <w:pStyle w:val="ListParagraph"/>
        <w:numPr>
          <w:ilvl w:val="0"/>
          <w:numId w:val="2"/>
        </w:numPr>
        <w:spacing w:before="60" w:after="60"/>
      </w:pPr>
      <w:r>
        <w:t>Picks-and-shovels is the most defensible bucket but offers incremental, not transformative, exposure. KEYS, COHR, FORM benefit from total quantum R&amp;D regardless of modality winner, but quantum is still a minority share of total company revenue. Best owned in combination with primary theses for each name.</w:t>
      </w:r>
    </w:p>
    <w:p w14:paraId="72140FB1" w14:textId="77777777" w:rsidR="00D83B30" w:rsidRDefault="00000000">
      <w:pPr>
        <w:pStyle w:val="ListParagraph"/>
        <w:numPr>
          <w:ilvl w:val="0"/>
          <w:numId w:val="2"/>
        </w:numPr>
        <w:spacing w:before="60" w:after="60"/>
      </w:pPr>
      <w:r>
        <w:t xml:space="preserve">Theme will expand as IPOs and de-SPACs land. The pure-play bucket has already grown (Xanadu listed March 2026; </w:t>
      </w:r>
      <w:proofErr w:type="spellStart"/>
      <w:r>
        <w:t>Infleqtion</w:t>
      </w:r>
      <w:proofErr w:type="spellEnd"/>
      <w:r>
        <w:t xml:space="preserve"> Feb 2026; IQM Feb 2026). Periodic universe refresh and new edge wiring required; don't lock the company list.</w:t>
      </w:r>
    </w:p>
    <w:p w14:paraId="06AAF469" w14:textId="77777777" w:rsidR="00D83B30" w:rsidRDefault="00000000">
      <w:pPr>
        <w:pStyle w:val="ListParagraph"/>
        <w:numPr>
          <w:ilvl w:val="0"/>
          <w:numId w:val="2"/>
        </w:numPr>
        <w:spacing w:before="60" w:after="60"/>
      </w:pPr>
      <w:r>
        <w:t>If a CRQC milestone arrives ahead of schedule, build the Quantum Disruption of Encryption headwind theme. Compresses PQC Migration timeline and creates a new headwind on slow-to-migrate incumbents. Currently anticipated but not material.</w:t>
      </w:r>
    </w:p>
    <w:sectPr w:rsidR="00D83B3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04049"/>
    <w:multiLevelType w:val="hybridMultilevel"/>
    <w:tmpl w:val="FDB4751A"/>
    <w:lvl w:ilvl="0" w:tplc="FF5AB13C">
      <w:start w:val="1"/>
      <w:numFmt w:val="bullet"/>
      <w:lvlText w:val="•"/>
      <w:lvlJc w:val="left"/>
      <w:pPr>
        <w:ind w:left="720" w:hanging="360"/>
      </w:pPr>
    </w:lvl>
    <w:lvl w:ilvl="1" w:tplc="D896990E">
      <w:numFmt w:val="decimal"/>
      <w:lvlText w:val=""/>
      <w:lvlJc w:val="left"/>
    </w:lvl>
    <w:lvl w:ilvl="2" w:tplc="5824DA52">
      <w:numFmt w:val="decimal"/>
      <w:lvlText w:val=""/>
      <w:lvlJc w:val="left"/>
    </w:lvl>
    <w:lvl w:ilvl="3" w:tplc="14DA5332">
      <w:numFmt w:val="decimal"/>
      <w:lvlText w:val=""/>
      <w:lvlJc w:val="left"/>
    </w:lvl>
    <w:lvl w:ilvl="4" w:tplc="0CF80A9E">
      <w:numFmt w:val="decimal"/>
      <w:lvlText w:val=""/>
      <w:lvlJc w:val="left"/>
    </w:lvl>
    <w:lvl w:ilvl="5" w:tplc="A75E3562">
      <w:numFmt w:val="decimal"/>
      <w:lvlText w:val=""/>
      <w:lvlJc w:val="left"/>
    </w:lvl>
    <w:lvl w:ilvl="6" w:tplc="7EF4DC46">
      <w:numFmt w:val="decimal"/>
      <w:lvlText w:val=""/>
      <w:lvlJc w:val="left"/>
    </w:lvl>
    <w:lvl w:ilvl="7" w:tplc="2DE2A8E6">
      <w:numFmt w:val="decimal"/>
      <w:lvlText w:val=""/>
      <w:lvlJc w:val="left"/>
    </w:lvl>
    <w:lvl w:ilvl="8" w:tplc="2B667524">
      <w:numFmt w:val="decimal"/>
      <w:lvlText w:val=""/>
      <w:lvlJc w:val="left"/>
    </w:lvl>
  </w:abstractNum>
  <w:abstractNum w:abstractNumId="1" w15:restartNumberingAfterBreak="0">
    <w:nsid w:val="53DF5627"/>
    <w:multiLevelType w:val="hybridMultilevel"/>
    <w:tmpl w:val="AA6A4D9A"/>
    <w:lvl w:ilvl="0" w:tplc="5A88A274">
      <w:start w:val="1"/>
      <w:numFmt w:val="bullet"/>
      <w:lvlText w:val="●"/>
      <w:lvlJc w:val="left"/>
      <w:pPr>
        <w:ind w:left="720" w:hanging="360"/>
      </w:pPr>
    </w:lvl>
    <w:lvl w:ilvl="1" w:tplc="B6E6341E">
      <w:start w:val="1"/>
      <w:numFmt w:val="bullet"/>
      <w:lvlText w:val="○"/>
      <w:lvlJc w:val="left"/>
      <w:pPr>
        <w:ind w:left="1440" w:hanging="360"/>
      </w:pPr>
    </w:lvl>
    <w:lvl w:ilvl="2" w:tplc="C658922A">
      <w:start w:val="1"/>
      <w:numFmt w:val="bullet"/>
      <w:lvlText w:val="■"/>
      <w:lvlJc w:val="left"/>
      <w:pPr>
        <w:ind w:left="2160" w:hanging="360"/>
      </w:pPr>
    </w:lvl>
    <w:lvl w:ilvl="3" w:tplc="BE4E5FF8">
      <w:start w:val="1"/>
      <w:numFmt w:val="bullet"/>
      <w:lvlText w:val="●"/>
      <w:lvlJc w:val="left"/>
      <w:pPr>
        <w:ind w:left="2880" w:hanging="360"/>
      </w:pPr>
    </w:lvl>
    <w:lvl w:ilvl="4" w:tplc="16DC4D28">
      <w:start w:val="1"/>
      <w:numFmt w:val="bullet"/>
      <w:lvlText w:val="○"/>
      <w:lvlJc w:val="left"/>
      <w:pPr>
        <w:ind w:left="3600" w:hanging="360"/>
      </w:pPr>
    </w:lvl>
    <w:lvl w:ilvl="5" w:tplc="52E0BDE2">
      <w:start w:val="1"/>
      <w:numFmt w:val="bullet"/>
      <w:lvlText w:val="■"/>
      <w:lvlJc w:val="left"/>
      <w:pPr>
        <w:ind w:left="4320" w:hanging="360"/>
      </w:pPr>
    </w:lvl>
    <w:lvl w:ilvl="6" w:tplc="16E6D4E6">
      <w:start w:val="1"/>
      <w:numFmt w:val="bullet"/>
      <w:lvlText w:val="●"/>
      <w:lvlJc w:val="left"/>
      <w:pPr>
        <w:ind w:left="5040" w:hanging="360"/>
      </w:pPr>
    </w:lvl>
    <w:lvl w:ilvl="7" w:tplc="30D6DC18">
      <w:start w:val="1"/>
      <w:numFmt w:val="bullet"/>
      <w:lvlText w:val="●"/>
      <w:lvlJc w:val="left"/>
      <w:pPr>
        <w:ind w:left="5760" w:hanging="360"/>
      </w:pPr>
    </w:lvl>
    <w:lvl w:ilvl="8" w:tplc="16762A8C">
      <w:start w:val="1"/>
      <w:numFmt w:val="bullet"/>
      <w:lvlText w:val="●"/>
      <w:lvlJc w:val="left"/>
      <w:pPr>
        <w:ind w:left="6480" w:hanging="360"/>
      </w:pPr>
    </w:lvl>
  </w:abstractNum>
  <w:num w:numId="1" w16cid:durableId="760637377">
    <w:abstractNumId w:val="1"/>
    <w:lvlOverride w:ilvl="0">
      <w:startOverride w:val="1"/>
    </w:lvlOverride>
  </w:num>
  <w:num w:numId="2" w16cid:durableId="1803882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30"/>
    <w:rsid w:val="00445FAD"/>
    <w:rsid w:val="005F64D4"/>
    <w:rsid w:val="00D83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0321"/>
  <w15:docId w15:val="{750F7E2B-6624-44CA-8959-C08EBB38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1648</Words>
  <Characters>10399</Characters>
  <Application>Microsoft Office Word</Application>
  <DocSecurity>0</DocSecurity>
  <Lines>193</Lines>
  <Paragraphs>58</Paragraphs>
  <ScaleCrop>false</ScaleCrop>
  <Company/>
  <LinksUpToDate>false</LinksUpToDate>
  <CharactersWithSpaces>12035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Evan Jones</cp:lastModifiedBy>
  <cp:revision>2</cp:revision>
  <dcterms:created xsi:type="dcterms:W3CDTF">2026-05-17T00:52:00Z</dcterms:created>
  <dcterms:modified xsi:type="dcterms:W3CDTF">2026-05-17T00:56:00Z</dcterms:modified>
</cp:coreProperties>
</file>