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0"/>
          <w:szCs w:val="40"/>
        </w:rPr>
        <w:t xml:space="preserve">Neo4j Thematic Investment Graph</w:t>
      </w:r>
    </w:p>
    <w:p>
      <w:pPr>
        <w:spacing w:after="240"/>
      </w:pPr>
      <w:r>
        <w:rPr>
          <w:rFonts w:ascii="Arial" w:cs="Arial" w:eastAsia="Arial" w:hAnsi="Arial"/>
          <w:i/>
          <w:iCs/>
          <w:sz w:val="28"/>
          <w:szCs w:val="28"/>
        </w:rPr>
        <w:t xml:space="preserve">Structure &amp; Build Summary</w:t>
      </w:r>
    </w:p>
    <w:p>
      <w:pPr>
        <w:spacing w:after="120"/>
      </w:pPr>
      <w:r>
        <w:rPr>
          <w:rFonts w:ascii="Arial" w:cs="Arial" w:eastAsia="Arial" w:hAnsi="Arial"/>
          <w:sz w:val="22"/>
          <w:szCs w:val="22"/>
        </w:rPr>
        <w:t xml:space="preserve">Database: Neo4j Aura (Free instance, Duke University project)</w:t>
      </w:r>
    </w:p>
    <w:p>
      <w:pPr>
        <w:spacing w:after="120"/>
      </w:pPr>
      <w:r>
        <w:rPr>
          <w:rFonts w:ascii="Arial" w:cs="Arial" w:eastAsia="Arial" w:hAnsi="Arial"/>
          <w:sz w:val="22"/>
          <w:szCs w:val="22"/>
        </w:rPr>
        <w:t xml:space="preserve">Last updated: May 17, 2026</w:t>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A thematic investment knowledge graph built in Neo4j Aura, designed to map cause-and-effect relationships between macro themes and specific securities. Replaces a flat tear-sheet workflow with a queryable, traversable structure that captures both winners and losers of a given thesis, supports unlimited theme hierarchy depth, and preserves an audit trail of where conviction values originated. Topical grouping (via a separate Topic node label) keeps editorial themes navigable across structural hierarchies.</w:t>
      </w:r>
    </w:p>
    <w:p>
      <w:pPr>
        <w:pStyle w:val="Heading3"/>
        <w:spacing w:after="120" w:before="240"/>
      </w:pPr>
      <w:r>
        <w:rPr>
          <w:rFonts w:ascii="Arial" w:cs="Arial" w:eastAsia="Arial" w:hAnsi="Arial"/>
          <w:b/>
          <w:bCs/>
          <w:sz w:val="24"/>
          <w:szCs w:val="24"/>
        </w:rPr>
        <w:t xml:space="preserve">Final state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5200"/>
      </w:tblGrid>
      <w:tr>
        <w:trPr>
          <w:tblHeader/>
        </w:trPr>
        <w:tc>
          <w:tcPr>
            <w:tcW w:type="dxa" w:w="2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Element</w:t>
            </w:r>
          </w:p>
        </w:tc>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Count</w:t>
            </w:r>
          </w:p>
        </w:tc>
        <w:tc>
          <w:tcPr>
            <w:tcW w:type="dxa" w:w="5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9,918</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global universe in Bloomberg ticker format, plus 1 pre-IPO orphan (QNT)</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Sectors (GICS)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Standard GICS taxonomy</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Sub-industries (GICS)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161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Standard GICS taxonomy</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Countries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MSCI country classifications</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Across 3 hierarchy levels (6 L1, 11 L2, 3 L3)</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QUANTUM (umbrella for quantum-related themes)</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EXPOSED_TO edges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126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117 Tailwind, 9 Headwind</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CHILD_OF edges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 hierarchy connections</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RELATES_TO edges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Non-hierarchical theme links</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TAGGED_AS edges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 to Topic tags (L1 parents only)</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UNDER_REVIEW edges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None currently flagged</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Security (legacy)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Orphans flagged for review</w:t>
            </w:r>
          </w:p>
        </w:tc>
      </w:tr>
    </w:tbl>
    <w:p>
      <w:pPr>
        <w:pStyle w:val="Heading1"/>
        <w:spacing w:after="200" w:before="360"/>
      </w:pPr>
      <w:r>
        <w:rPr>
          <w:rFonts w:ascii="Arial" w:cs="Arial" w:eastAsia="Arial" w:hAnsi="Arial"/>
          <w:b/>
          <w:bCs/>
          <w:sz w:val="32"/>
          <w:szCs w:val="32"/>
        </w:rPr>
        <w:t xml:space="preserve">2. Build Sequence</w:t>
      </w:r>
    </w:p>
    <w:p>
      <w:pPr>
        <w:spacing w:after="120"/>
      </w:pPr>
      <w:r>
        <w:rPr>
          <w:rFonts w:ascii="Arial" w:cs="Arial" w:eastAsia="Arial" w:hAnsi="Arial"/>
          <w:sz w:val="22"/>
          <w:szCs w:val="22"/>
        </w:rPr>
        <w:t xml:space="preserve">The graph was built in ten distinct phases. Each phase produced a verifiable state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5200"/>
      </w:tblGrid>
      <w:tr>
        <w:trPr>
          <w:tblHeader/>
        </w:trPr>
        <w:tc>
          <w:tcPr>
            <w:tcW w:type="dxa" w:w="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Phase</w:t>
            </w:r>
          </w:p>
        </w:tc>
        <w:tc>
          <w:tcPr>
            <w:tcW w:type="dxa" w:w="3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Action</w:t>
            </w:r>
          </w:p>
        </w:tc>
        <w:tc>
          <w:tcPr>
            <w:tcW w:type="dxa" w:w="5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Connect to Aura via MCP</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Schema inspection confirmed pre-existing Security/Theme structure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Import 9,917-row CSV via Aura Import UI</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Company, Sector, SubSector, Country nodes created with structural relationships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Match check (Security to Company)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Identified 38 matches, 5 orphans, ticker collisions across exchanges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Migrate theme exposures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55 EXPOSED_TO edges moved from Security to Company nodes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Delete matched Security nodes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 orphans preserved with migration_status flag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Standardize property names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Ticker → ticker, Short Name → shortName, etc. (camelCase)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Refactor themes to hierarchy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Added Level 2 and Level 3 sub-themes with CHILD_OF edges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headwind (AI Disruption) theme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 explicit Headwind edges, inverse RELATES_TO link to SaaS Durability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Quantum Computing Beneficiaries tree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 themes (1 L1, 3 L2), 17 Tailwind EXPOSED_TO edges, 1 pre-IPO Company node (QNT)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Introduce Topic / TAGGED_AS infrastructure; add PQC Migration tree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QUANTUM Topic node + TAGGED_AS relationship; PQC Migration theme (1 L1 + 2 L2), 9 Tailwind EXPOSED_TO edges, RELATES_TO link to Cybersecurity Tailwind</w:t>
            </w:r>
          </w:p>
        </w:tc>
      </w:tr>
    </w:tbl>
    <w:p>
      <w:pPr>
        <w:pStyle w:val="Heading1"/>
        <w:spacing w:after="200" w:before="360"/>
      </w:pPr>
      <w:r>
        <w:rPr>
          <w:rFonts w:ascii="Arial" w:cs="Arial" w:eastAsia="Arial" w:hAnsi="Arial"/>
          <w:b/>
          <w:bCs/>
          <w:sz w:val="32"/>
          <w:szCs w:val="32"/>
        </w:rPr>
        <w:t xml:space="preserve">3. Graph Schema</w:t>
      </w:r>
    </w:p>
    <w:p>
      <w:pPr>
        <w:pStyle w:val="Heading2"/>
        <w:spacing w:after="160" w:before="300"/>
      </w:pPr>
      <w:r>
        <w:rPr>
          <w:rFonts w:ascii="Arial" w:cs="Arial" w:eastAsia="Arial" w:hAnsi="Arial"/>
          <w:b/>
          <w:bCs/>
          <w:sz w:val="28"/>
          <w:szCs w:val="28"/>
        </w:rPr>
        <w:t xml:space="preserve">3.1 Node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1700"/>
        <w:gridCol w:w="1300"/>
      </w:tblGrid>
      <w:tr>
        <w:trPr>
          <w:tblHeader/>
        </w:trPr>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Label</w:t>
            </w:r>
          </w:p>
        </w:tc>
        <w:tc>
          <w:tcPr>
            <w:tcW w:type="dxa" w:w="4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ID Property</w:t>
            </w:r>
          </w:p>
        </w:tc>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Count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One node per security listing (Bloomberg ticker)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ticker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9,918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Sector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GICS sector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SubSector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GICS sub-industry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161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Country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MSCI country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Macro forces, moats, sub-tiers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Topic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Editorial grouping across themes (e.g., QUANTUM); independent of CHILD_OF hierarchy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Security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Legacy orphans only — not for new work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ticker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r>
    </w:tbl>
    <w:p>
      <w:pPr>
        <w:pStyle w:val="Heading2"/>
        <w:spacing w:after="160" w:before="300"/>
      </w:pPr>
      <w:r>
        <w:rPr>
          <w:rFonts w:ascii="Arial" w:cs="Arial" w:eastAsia="Arial" w:hAnsi="Arial"/>
          <w:b/>
          <w:bCs/>
          <w:sz w:val="28"/>
          <w:szCs w:val="28"/>
        </w:rPr>
        <w:t xml:space="preserve">3.2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2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From → To</w:t>
            </w:r>
          </w:p>
        </w:tc>
        <w:tc>
          <w:tcPr>
            <w:tcW w:type="dxa" w:w="4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IN_SECTOR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Company → Sector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GICS sector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IN_SUB_INDUSTRY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Company → SubSector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GICS sub-industry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IN_COUNTRY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Company → Country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MSCI country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PART_OF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SubSector → Sector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Sub-industry parent sector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EXPOSED_TO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Company → Theme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Decided directional exposure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CHILD_OF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 → Theme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 hierarchy (structural)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RELATES_TO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 → Theme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Non-hierarchical link (overlap, inverse,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TAGGED_AS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Theme → Topic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Editorial grouping; applied to L1 parent themes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UNDER_REVIEW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Company → Theme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Flagged but not yet decided (user-driven only)</w:t>
            </w:r>
          </w:p>
        </w:tc>
      </w:tr>
    </w:tbl>
    <w:p>
      <w:pPr>
        <w:pStyle w:val="Heading2"/>
        <w:spacing w:after="160" w:before="300"/>
      </w:pPr>
      <w:r>
        <w:rPr>
          <w:rFonts w:ascii="Arial" w:cs="Arial" w:eastAsia="Arial" w:hAnsi="Arial"/>
          <w:b/>
          <w:bCs/>
          <w:sz w:val="28"/>
          <w:szCs w:val="28"/>
        </w:rPr>
        <w:t xml:space="preserve">3.3 EXPOSED_TO Edge Properties</w:t>
      </w:r>
    </w:p>
    <w:p>
      <w:pPr>
        <w:spacing w:after="120"/>
      </w:pPr>
      <w:r>
        <w:rPr>
          <w:rFonts w:ascii="Arial" w:cs="Arial" w:eastAsia="Arial" w:hAnsi="Arial"/>
          <w:sz w:val="22"/>
          <w:szCs w:val="22"/>
        </w:rPr>
        <w:t xml:space="preserve">Every EXPOSED_TO edge represents a decided, directional exposure. The three dimensions below are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Property</w:t>
            </w:r>
          </w:p>
        </w:tc>
        <w:tc>
          <w:tcPr>
            <w:tcW w:type="dxa" w:w="3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Values</w:t>
            </w:r>
          </w:p>
        </w:tc>
        <w:tc>
          <w:tcPr>
            <w:tcW w:type="dxa" w:w="41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Question it answers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direction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Tailwind or Headwind (Mixed not permitted)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Which way does the theme affect the company?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strength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Core, Significant, Peripheral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How important is the theme to this company’s thesis?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confidence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Medium, 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How sure am I this specific link is real?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mechanism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 text (1–2 sentences)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Why is this company exposed?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source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 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What document or analysis grounds this edge?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last_updated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was this edge last reviewed?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reviewed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true / 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Has the user confirmed this edge?</w:t>
            </w:r>
          </w:p>
        </w:tc>
      </w:tr>
    </w:tbl>
    <w:p>
      <w:pPr>
        <w:pStyle w:val="Heading2"/>
        <w:spacing w:after="160" w:before="300"/>
      </w:pPr>
      <w:r>
        <w:rPr>
          <w:rFonts w:ascii="Arial" w:cs="Arial" w:eastAsia="Arial" w:hAnsi="Arial"/>
          <w:b/>
          <w:bCs/>
          <w:sz w:val="28"/>
          <w:szCs w:val="28"/>
        </w:rPr>
        <w:t xml:space="preserve">3.4 Topic and TAGGED_AS Infrastructure</w:t>
      </w:r>
    </w:p>
    <w:p>
      <w:pPr>
        <w:spacing w:after="120"/>
      </w:pPr>
      <w:r>
        <w:rPr>
          <w:rFonts w:ascii="Arial" w:cs="Arial" w:eastAsia="Arial" w:hAnsi="Arial"/>
          <w:sz w:val="22"/>
          <w:szCs w:val="22"/>
        </w:rPr>
        <w:t xml:space="preserve">Topics provide editorial grouping across themes that may be hierarchically unrelated but topically connected. The convention is to tag only Level 1 parent themes — the variable-depth CHILD_OF traversal then reaches all descendants automatically.</w:t>
      </w:r>
    </w:p>
    <w:p>
      <w:pPr>
        <w:spacing w:after="120"/>
      </w:pPr>
      <w:r>
        <w:rPr>
          <w:rFonts w:ascii="Arial" w:cs="Arial" w:eastAsia="Arial" w:hAnsi="Arial"/>
          <w:i/>
          <w:iCs/>
          <w:sz w:val="22"/>
          <w:szCs w:val="22"/>
        </w:rPr>
        <w:t xml:space="preserve">Canonical topical query pattern:</w:t>
      </w:r>
    </w:p>
    <w:p>
      <w:pPr>
        <w:spacing w:after="120"/>
      </w:pPr>
      <w:r>
        <w:rPr>
          <w:rFonts w:ascii="Courier New" w:cs="Courier New" w:eastAsia="Courier New" w:hAnsi="Courier New"/>
          <w:sz w:val="20"/>
          <w:szCs w:val="20"/>
        </w:rPr>
        <w:t xml:space="preserve">MATCH (:Topic {name: "QUANTUM"})&lt;-[:TAGGED_AS]-(parent:Theme)&lt;-[:CHILD_OF*0..]-(t:Theme) OPTIONAL MATCH (t)&lt;-[r:EXPOSED_TO]-(c:Company) RETURN parent.name, t.name, count(DISTINCT c) AS companies</w:t>
      </w:r>
    </w:p>
    <w:p>
      <w:pPr>
        <w:spacing w:after="120"/>
      </w:pPr>
      <w:r>
        <w:rPr>
          <w:rFonts w:ascii="Arial" w:cs="Arial" w:eastAsia="Arial" w:hAnsi="Arial"/>
          <w:sz w:val="22"/>
          <w:szCs w:val="22"/>
        </w:rPr>
        <w:t xml:space="preserve">Topic node properties: name (string, unique — manual constraint pending), description (free text), created_in_session (date). TAGGED_AS edge property: tagged_on (date).</w:t>
      </w:r>
    </w:p>
    <w:p>
      <w:pPr>
        <w:pStyle w:val="Heading1"/>
        <w:spacing w:after="200" w:before="360"/>
      </w:pPr>
      <w:r>
        <w:rPr>
          <w:rFonts w:ascii="Arial" w:cs="Arial" w:eastAsia="Arial" w:hAnsi="Arial"/>
          <w:b/>
          <w:bCs/>
          <w:sz w:val="32"/>
          <w:szCs w:val="32"/>
        </w:rPr>
        <w:t xml:space="preserve">4. Theme Hierarchy</w:t>
      </w:r>
    </w:p>
    <w:p>
      <w:pPr>
        <w:spacing w:after="120"/>
      </w:pPr>
      <w:r>
        <w:rPr>
          <w:rFonts w:ascii="Arial" w:cs="Arial" w:eastAsia="Arial" w:hAnsi="Arial"/>
          <w:sz w:val="22"/>
          <w:szCs w:val="22"/>
        </w:rPr>
        <w:t xml:space="preserve">Themes are organized into three levels using self-referential CHILD_OF relationships. The variable-depth pattern means queries can traverse any depth with one expression.</w:t>
      </w:r>
    </w:p>
    <w:p>
      <w:pPr>
        <w:pStyle w:val="Heading2"/>
        <w:spacing w:after="160" w:before="300"/>
      </w:pPr>
      <w:r>
        <w:rPr>
          <w:rFonts w:ascii="Arial" w:cs="Arial" w:eastAsia="Arial" w:hAnsi="Arial"/>
          <w:b/>
          <w:bCs/>
          <w:sz w:val="28"/>
          <w:szCs w:val="28"/>
        </w:rPr>
        <w:t xml:space="preserve">4.1 SaaS Durability Tree</w:t>
      </w:r>
    </w:p>
    <w:p>
      <w:pPr>
        <w:pStyle w:val="ListParagraph"/>
        <w:numPr>
          <w:ilvl w:val="0"/>
          <w:numId w:val="2"/>
        </w:numPr>
        <w:spacing w:after="60"/>
      </w:pPr>
      <w:r>
        <w:rPr>
          <w:rFonts w:ascii="Arial" w:cs="Arial" w:eastAsia="Arial" w:hAnsi="Arial"/>
          <w:sz w:val="22"/>
          <w:szCs w:val="22"/>
        </w:rPr>
        <w:t xml:space="preserve">Level 1 — SaaS Durability in AI Era (umbrella thesis, 38 companies)</w:t>
      </w:r>
    </w:p>
    <w:p>
      <w:pPr>
        <w:pStyle w:val="ListParagraph"/>
        <w:numPr>
          <w:ilvl w:val="1"/>
          <w:numId w:val="2"/>
        </w:numPr>
        <w:spacing w:after="60"/>
      </w:pPr>
      <w:r>
        <w:rPr>
          <w:rFonts w:ascii="Arial" w:cs="Arial" w:eastAsia="Arial" w:hAnsi="Arial"/>
          <w:sz w:val="22"/>
          <w:szCs w:val="22"/>
        </w:rPr>
        <w:t xml:space="preserve">Level 2 — Proprietary Data (5 companies)</w:t>
      </w:r>
    </w:p>
    <w:p>
      <w:pPr>
        <w:pStyle w:val="ListParagraph"/>
        <w:numPr>
          <w:ilvl w:val="1"/>
          <w:numId w:val="2"/>
        </w:numPr>
        <w:spacing w:after="60"/>
      </w:pPr>
      <w:r>
        <w:rPr>
          <w:rFonts w:ascii="Arial" w:cs="Arial" w:eastAsia="Arial" w:hAnsi="Arial"/>
          <w:sz w:val="22"/>
          <w:szCs w:val="22"/>
        </w:rPr>
        <w:t xml:space="preserve">Level 2 — Regulated Systems of Record (5 companies)</w:t>
      </w:r>
    </w:p>
    <w:p>
      <w:pPr>
        <w:pStyle w:val="ListParagraph"/>
        <w:numPr>
          <w:ilvl w:val="1"/>
          <w:numId w:val="2"/>
        </w:numPr>
        <w:spacing w:after="60"/>
      </w:pPr>
      <w:r>
        <w:rPr>
          <w:rFonts w:ascii="Arial" w:cs="Arial" w:eastAsia="Arial" w:hAnsi="Arial"/>
          <w:sz w:val="22"/>
          <w:szCs w:val="22"/>
        </w:rPr>
        <w:t xml:space="preserve">Level 2 — Two-Sided Networks (3 companies)</w:t>
      </w:r>
    </w:p>
    <w:p>
      <w:pPr>
        <w:pStyle w:val="ListParagraph"/>
        <w:numPr>
          <w:ilvl w:val="1"/>
          <w:numId w:val="2"/>
        </w:numPr>
        <w:spacing w:after="60"/>
      </w:pPr>
      <w:r>
        <w:rPr>
          <w:rFonts w:ascii="Arial" w:cs="Arial" w:eastAsia="Arial" w:hAnsi="Arial"/>
          <w:sz w:val="22"/>
          <w:szCs w:val="22"/>
        </w:rPr>
        <w:t xml:space="preserve">Level 2 — Physical-World Software (9 companies)</w:t>
      </w:r>
    </w:p>
    <w:p>
      <w:pPr>
        <w:pStyle w:val="ListParagraph"/>
        <w:numPr>
          <w:ilvl w:val="1"/>
          <w:numId w:val="2"/>
        </w:numPr>
        <w:spacing w:after="60"/>
      </w:pPr>
      <w:r>
        <w:rPr>
          <w:rFonts w:ascii="Arial" w:cs="Arial" w:eastAsia="Arial" w:hAnsi="Arial"/>
          <w:sz w:val="22"/>
          <w:szCs w:val="22"/>
        </w:rPr>
        <w:t xml:space="preserve">Level 2 — Mission-Critical Infrastructure (17 companies aggregated)</w:t>
      </w:r>
    </w:p>
    <w:p>
      <w:pPr>
        <w:pStyle w:val="ListParagraph"/>
        <w:numPr>
          <w:ilvl w:val="2"/>
          <w:numId w:val="2"/>
        </w:numPr>
        <w:spacing w:after="60"/>
      </w:pPr>
      <w:r>
        <w:rPr>
          <w:rFonts w:ascii="Arial" w:cs="Arial" w:eastAsia="Arial" w:hAnsi="Arial"/>
          <w:sz w:val="22"/>
          <w:szCs w:val="22"/>
        </w:rPr>
        <w:t xml:space="preserve">Level 3 — Existential Infrastructure (8 companies)</w:t>
      </w:r>
    </w:p>
    <w:p>
      <w:pPr>
        <w:pStyle w:val="ListParagraph"/>
        <w:numPr>
          <w:ilvl w:val="2"/>
          <w:numId w:val="2"/>
        </w:numPr>
        <w:spacing w:after="60"/>
      </w:pPr>
      <w:r>
        <w:rPr>
          <w:rFonts w:ascii="Arial" w:cs="Arial" w:eastAsia="Arial" w:hAnsi="Arial"/>
          <w:sz w:val="22"/>
          <w:szCs w:val="22"/>
        </w:rPr>
        <w:t xml:space="preserve">Level 3 — Operational Infrastructure (5 companies)</w:t>
      </w:r>
    </w:p>
    <w:p>
      <w:pPr>
        <w:pStyle w:val="ListParagraph"/>
        <w:numPr>
          <w:ilvl w:val="2"/>
          <w:numId w:val="2"/>
        </w:numPr>
        <w:spacing w:after="60"/>
      </w:pPr>
      <w:r>
        <w:rPr>
          <w:rFonts w:ascii="Arial" w:cs="Arial" w:eastAsia="Arial" w:hAnsi="Arial"/>
          <w:sz w:val="22"/>
          <w:szCs w:val="22"/>
        </w:rPr>
        <w:t xml:space="preserve">Level 3 — Engineering-Critical Infrastructure (4 companies)</w:t>
      </w:r>
    </w:p>
    <w:p>
      <w:pPr>
        <w:pStyle w:val="ListParagraph"/>
        <w:numPr>
          <w:ilvl w:val="1"/>
          <w:numId w:val="2"/>
        </w:numPr>
        <w:spacing w:after="60"/>
      </w:pPr>
      <w:r>
        <w:rPr>
          <w:rFonts w:ascii="Arial" w:cs="Arial" w:eastAsia="Arial" w:hAnsi="Arial"/>
          <w:sz w:val="22"/>
          <w:szCs w:val="22"/>
        </w:rPr>
        <w:t xml:space="preserve">Level 2 — Cybersecurity Tailwind (cross-cutting, 5 companies)</w:t>
      </w:r>
    </w:p>
    <w:p>
      <w:pPr>
        <w:pStyle w:val="Heading2"/>
        <w:spacing w:after="160" w:before="300"/>
      </w:pPr>
      <w:r>
        <w:rPr>
          <w:rFonts w:ascii="Arial" w:cs="Arial" w:eastAsia="Arial" w:hAnsi="Arial"/>
          <w:b/>
          <w:bCs/>
          <w:sz w:val="28"/>
          <w:szCs w:val="28"/>
        </w:rPr>
        <w:t xml:space="preserve">4.2 Quantum Computing Beneficiaries Tree</w:t>
      </w:r>
    </w:p>
    <w:p>
      <w:pPr>
        <w:spacing w:after="120"/>
      </w:pPr>
      <w:r>
        <w:rPr>
          <w:rFonts w:ascii="Arial" w:cs="Arial" w:eastAsia="Arial" w:hAnsi="Arial"/>
          <w:sz w:val="22"/>
          <w:szCs w:val="22"/>
        </w:rPr>
        <w:t xml:space="preserve">Level 1 macro theme covering the quantum computing value chain, decomposed into three sub-themes that segment the ecosystem by business model and proximity to commercial revenue. Theme conviction is Medium across the parent and all sub-themes — the underlying force is real, but timing to commercial advantage is 5–15 years and modality winners remain unclear. Tagged via TAGGED_AS to the QUANTUM Topic node.</w:t>
      </w:r>
    </w:p>
    <w:p>
      <w:pPr>
        <w:pStyle w:val="ListParagraph"/>
        <w:numPr>
          <w:ilvl w:val="0"/>
          <w:numId w:val="2"/>
        </w:numPr>
        <w:spacing w:after="60"/>
      </w:pPr>
      <w:r>
        <w:rPr>
          <w:rFonts w:ascii="Arial" w:cs="Arial" w:eastAsia="Arial" w:hAnsi="Arial"/>
          <w:sz w:val="22"/>
          <w:szCs w:val="22"/>
        </w:rPr>
        <w:t xml:space="preserve">Level 1 — Quantum Computing Beneficiaries (parent, 17 companies aggregated)</w:t>
      </w:r>
    </w:p>
    <w:p>
      <w:pPr>
        <w:pStyle w:val="ListParagraph"/>
        <w:numPr>
          <w:ilvl w:val="1"/>
          <w:numId w:val="2"/>
        </w:numPr>
        <w:spacing w:after="60"/>
      </w:pPr>
      <w:r>
        <w:rPr>
          <w:rFonts w:ascii="Arial" w:cs="Arial" w:eastAsia="Arial" w:hAnsi="Arial"/>
          <w:sz w:val="22"/>
          <w:szCs w:val="22"/>
        </w:rPr>
        <w:t xml:space="preserve">Level 2 — Hyperscaler and Strategic Programs (7 companies: IBM, GOOGL, MSFT, AMZN, BABA, INTC, HON)</w:t>
      </w:r>
    </w:p>
    <w:p>
      <w:pPr>
        <w:pStyle w:val="ListParagraph"/>
        <w:numPr>
          <w:ilvl w:val="1"/>
          <w:numId w:val="2"/>
        </w:numPr>
        <w:spacing w:after="60"/>
      </w:pPr>
      <w:r>
        <w:rPr>
          <w:rFonts w:ascii="Arial" w:cs="Arial" w:eastAsia="Arial" w:hAnsi="Arial"/>
          <w:sz w:val="22"/>
          <w:szCs w:val="22"/>
        </w:rPr>
        <w:t xml:space="preserve">Level 2 — Pure-Play Platforms (5 companies: QNT, IONQ, RGTI, QBTS, QUBT)</w:t>
      </w:r>
    </w:p>
    <w:p>
      <w:pPr>
        <w:pStyle w:val="ListParagraph"/>
        <w:numPr>
          <w:ilvl w:val="1"/>
          <w:numId w:val="2"/>
        </w:numPr>
        <w:spacing w:after="60"/>
      </w:pPr>
      <w:r>
        <w:rPr>
          <w:rFonts w:ascii="Arial" w:cs="Arial" w:eastAsia="Arial" w:hAnsi="Arial"/>
          <w:sz w:val="22"/>
          <w:szCs w:val="22"/>
        </w:rPr>
        <w:t xml:space="preserve">Level 2 — Picks and Shovels (5 companies: KEYS, COHR, FORM, MKSI, NVDA)</w:t>
      </w:r>
    </w:p>
    <w:p>
      <w:pPr>
        <w:pStyle w:val="Heading3"/>
        <w:spacing w:after="120" w:before="240"/>
      </w:pPr>
      <w:r>
        <w:rPr>
          <w:rFonts w:ascii="Arial" w:cs="Arial" w:eastAsia="Arial" w:hAnsi="Arial"/>
          <w:b/>
          <w:bCs/>
          <w:sz w:val="24"/>
          <w:szCs w:val="24"/>
        </w:rPr>
        <w:t xml:space="preserve">Quantinuum (QNT) handling</w:t>
      </w:r>
    </w:p>
    <w:p>
      <w:pPr>
        <w:spacing w:after="120"/>
      </w:pPr>
      <w:r>
        <w:rPr>
          <w:rFonts w:ascii="Arial" w:cs="Arial" w:eastAsia="Arial" w:hAnsi="Arial"/>
          <w:sz w:val="22"/>
          <w:szCs w:val="22"/>
        </w:rPr>
        <w:t xml:space="preserve">QNT US Equity was added as a Company node despite being pre-IPO, on the basis of a filed registration statement (Morgan Stanley joint lead bookrunner, May 2026). It carries listing_status = "Pre-IPO" and migration_status flagging it as not yet effective, and intentionally has no IN_SECTOR, IN_SUB_INDUSTRY, or IN_COUNTRY edges — GICS classifications will be added once the company appears in a refreshed universe CSV after pricing.</w:t>
      </w:r>
    </w:p>
    <w:p>
      <w:pPr>
        <w:pStyle w:val="Heading2"/>
        <w:spacing w:after="160" w:before="300"/>
      </w:pPr>
      <w:r>
        <w:rPr>
          <w:rFonts w:ascii="Arial" w:cs="Arial" w:eastAsia="Arial" w:hAnsi="Arial"/>
          <w:b/>
          <w:bCs/>
          <w:sz w:val="28"/>
          <w:szCs w:val="28"/>
        </w:rPr>
        <w:t xml:space="preserve">4.3 Post-Quantum Cryptography Migration Tree (added May 17, 2026)</w:t>
      </w:r>
    </w:p>
    <w:p>
      <w:pPr>
        <w:spacing w:after="120"/>
      </w:pPr>
      <w:r>
        <w:rPr>
          <w:rFonts w:ascii="Arial" w:cs="Arial" w:eastAsia="Arial" w:hAnsi="Arial"/>
          <w:sz w:val="22"/>
          <w:szCs w:val="22"/>
        </w:rPr>
        <w:t xml:space="preserve">New Level 1 theme covering the mandated cryptographic transition driven by NIST FIPS 203/204/205 (Aug 2024) and NSA CNSA 2.0 deadlines (2027 / 2030 / 2035). Distinct from Cybersecurity Tailwind because the driver is regulatory-deadline, not threat-volume — spend is non-discretionary regardless of attack frequency. Theme conviction is High (deadline-driven, not speculation-driven). Tagged via TAGGED_AS to the QUANTUM Topic node; linked via RELATES_TO (kind: "overlapping-but-distinct") to Cybersecurity Tailwind.</w:t>
      </w:r>
    </w:p>
    <w:p>
      <w:pPr>
        <w:pStyle w:val="ListParagraph"/>
        <w:numPr>
          <w:ilvl w:val="0"/>
          <w:numId w:val="2"/>
        </w:numPr>
        <w:spacing w:after="60"/>
      </w:pPr>
      <w:r>
        <w:rPr>
          <w:rFonts w:ascii="Arial" w:cs="Arial" w:eastAsia="Arial" w:hAnsi="Arial"/>
          <w:sz w:val="22"/>
          <w:szCs w:val="22"/>
        </w:rPr>
        <w:t xml:space="preserve">Level 1 — Post-Quantum Cryptography Migration (parent, 9 companies aggregated, High conviction)</w:t>
      </w:r>
    </w:p>
    <w:p>
      <w:pPr>
        <w:pStyle w:val="ListParagraph"/>
        <w:numPr>
          <w:ilvl w:val="1"/>
          <w:numId w:val="2"/>
        </w:numPr>
        <w:spacing w:after="60"/>
      </w:pPr>
      <w:r>
        <w:rPr>
          <w:rFonts w:ascii="Arial" w:cs="Arial" w:eastAsia="Arial" w:hAnsi="Arial"/>
          <w:sz w:val="22"/>
          <w:szCs w:val="22"/>
        </w:rPr>
        <w:t xml:space="preserve">Level 2 — PQC - Identity and Encryption Incumbents (5 companies: IBM, NET, CRWD, PANW, FTNT)</w:t>
      </w:r>
    </w:p>
    <w:p>
      <w:pPr>
        <w:pStyle w:val="ListParagraph"/>
        <w:numPr>
          <w:ilvl w:val="1"/>
          <w:numId w:val="2"/>
        </w:numPr>
        <w:spacing w:after="60"/>
      </w:pPr>
      <w:r>
        <w:rPr>
          <w:rFonts w:ascii="Arial" w:cs="Arial" w:eastAsia="Arial" w:hAnsi="Arial"/>
          <w:sz w:val="22"/>
          <w:szCs w:val="22"/>
        </w:rPr>
        <w:t xml:space="preserve">Level 2 — PQC - Compliance and Migration Services (4 companies: BAH, LDOS, CACI, ACN)</w:t>
      </w:r>
    </w:p>
    <w:p>
      <w:pPr>
        <w:spacing w:after="120"/>
      </w:pPr>
      <w:r>
        <w:rPr>
          <w:rFonts w:ascii="Arial" w:cs="Arial" w:eastAsia="Arial" w:hAnsi="Arial"/>
          <w:sz w:val="22"/>
          <w:szCs w:val="22"/>
        </w:rPr>
        <w:t xml:space="preserve">Note: PANW, CRWD, NET, FTNT also sit under Cybersecurity Tailwind — the PQC edges are additive (different mechanism) and intentional, not duplicative. RELATES_TO link documents the overlap.</w:t>
      </w:r>
    </w:p>
    <w:p>
      <w:pPr>
        <w:pStyle w:val="Heading2"/>
        <w:spacing w:after="160" w:before="300"/>
      </w:pPr>
      <w:r>
        <w:rPr>
          <w:rFonts w:ascii="Arial" w:cs="Arial" w:eastAsia="Arial" w:hAnsi="Arial"/>
          <w:b/>
          <w:bCs/>
          <w:sz w:val="28"/>
          <w:szCs w:val="28"/>
        </w:rPr>
        <w:t xml:space="preserve">4.4 Standalone Themes (no parent)</w:t>
      </w:r>
    </w:p>
    <w:p>
      <w:pPr>
        <w:pStyle w:val="ListParagraph"/>
        <w:numPr>
          <w:ilvl w:val="0"/>
          <w:numId w:val="2"/>
        </w:numPr>
        <w:spacing w:after="60"/>
      </w:pPr>
      <w:r>
        <w:rPr>
          <w:rFonts w:ascii="Arial" w:cs="Arial" w:eastAsia="Arial" w:hAnsi="Arial"/>
          <w:sz w:val="22"/>
          <w:szCs w:val="22"/>
        </w:rPr>
        <w:t xml:space="preserve">Level 1 — AI Orchestration Layer Incumbents (Medium conviction, 2 companies)</w:t>
      </w:r>
    </w:p>
    <w:p>
      <w:pPr>
        <w:pStyle w:val="ListParagraph"/>
        <w:numPr>
          <w:ilvl w:val="0"/>
          <w:numId w:val="2"/>
        </w:numPr>
        <w:spacing w:after="60"/>
      </w:pPr>
      <w:r>
        <w:rPr>
          <w:rFonts w:ascii="Arial" w:cs="Arial" w:eastAsia="Arial" w:hAnsi="Arial"/>
          <w:sz w:val="22"/>
          <w:szCs w:val="22"/>
        </w:rPr>
        <w:t xml:space="preserve">Level 1 — Capital Allocator Compounders (High conviction, 1 company: ROP; CSU.TO is an orphan)</w:t>
      </w:r>
    </w:p>
    <w:p>
      <w:pPr>
        <w:pStyle w:val="ListParagraph"/>
        <w:numPr>
          <w:ilvl w:val="0"/>
          <w:numId w:val="2"/>
        </w:numPr>
        <w:spacing w:after="60"/>
      </w:pPr>
      <w:r>
        <w:rPr>
          <w:rFonts w:ascii="Arial" w:cs="Arial" w:eastAsia="Arial" w:hAnsi="Arial"/>
          <w:sz w:val="22"/>
          <w:szCs w:val="22"/>
        </w:rPr>
        <w:t xml:space="preserve">Level 1 — AI Disruption of Horizontal SaaS (High conviction, inverse of SaaS Durability via RELATES_TO, 9 companies)</w:t>
      </w:r>
    </w:p>
    <w:p>
      <w:pPr>
        <w:pStyle w:val="Heading2"/>
        <w:spacing w:after="160" w:before="300"/>
      </w:pPr>
      <w:r>
        <w:rPr>
          <w:rFonts w:ascii="Arial" w:cs="Arial" w:eastAsia="Arial" w:hAnsi="Arial"/>
          <w:b/>
          <w:bCs/>
          <w:sz w:val="28"/>
          <w:szCs w:val="28"/>
        </w:rPr>
        <w:t xml:space="preserve">4.5 Topical Groupings</w:t>
      </w:r>
    </w:p>
    <w:p>
      <w:pPr>
        <w:spacing w:after="120"/>
      </w:pPr>
      <w:r>
        <w:rPr>
          <w:rFonts w:ascii="Arial" w:cs="Arial" w:eastAsia="Arial" w:hAnsi="Arial"/>
          <w:sz w:val="22"/>
          <w:szCs w:val="22"/>
        </w:rPr>
        <w:t xml:space="preserve">Topics are editorial groupings across themes that may be hierarchically unrelated but topically connected. Currently one topic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rPr>
          <w:tblHeader/>
        </w:trPr>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Topic</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Tagged L1 Themes</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Reach (companies)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QUANTUM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Quantum Computing Beneficiaries; Post-Quantum Cryptography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26 unique exposures (17 + 9)</w:t>
            </w:r>
          </w:p>
        </w:tc>
      </w:tr>
    </w:tbl>
    <w:p>
      <w:pPr>
        <w:pStyle w:val="Heading2"/>
        <w:spacing w:after="160" w:before="300"/>
      </w:pPr>
      <w:r>
        <w:rPr>
          <w:rFonts w:ascii="Arial" w:cs="Arial" w:eastAsia="Arial" w:hAnsi="Arial"/>
          <w:b/>
          <w:bCs/>
          <w:sz w:val="28"/>
          <w:szCs w:val="28"/>
        </w:rPr>
        <w:t xml:space="preserve">4.6 Companies by Quantum Computing Sub-theme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Sub-theme</w:t>
            </w:r>
          </w:p>
        </w:tc>
        <w:tc>
          <w:tcPr>
            <w:tcW w:type="dxa" w:w="3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Strength tiers</w:t>
            </w:r>
          </w:p>
        </w:tc>
        <w:tc>
          <w:tcPr>
            <w:tcW w:type="dxa" w:w="3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Tickers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Hyperscaler &amp; Strategic Programs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 Significant (IBM, HON); 5 Peripheral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IBM, GOOGL, MSFT, AMZN, BABA, INTC, HON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Pure-Play Platforms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All 5 Core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QNT, IONQ, RGTI, QBTS, QUBT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Picks and Shovels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 Significant (KEYS, COHR, FORM); 2 Peripheral (MKSI, NVDA)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KEYS, COHR, FORM, MKSI, NVDA</w:t>
            </w:r>
          </w:p>
        </w:tc>
      </w:tr>
    </w:tbl>
    <w:p>
      <w:pPr>
        <w:pStyle w:val="Heading2"/>
        <w:spacing w:after="160" w:before="300"/>
      </w:pPr>
      <w:r>
        <w:rPr>
          <w:rFonts w:ascii="Arial" w:cs="Arial" w:eastAsia="Arial" w:hAnsi="Arial"/>
          <w:b/>
          <w:bCs/>
          <w:sz w:val="28"/>
          <w:szCs w:val="28"/>
        </w:rPr>
        <w:t xml:space="preserve">4.7 Companies by PQC Migration Sub-theme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rPr>
          <w:tblHeader/>
        </w:trP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Sub-theme</w:t>
            </w:r>
          </w:p>
        </w:tc>
        <w:tc>
          <w:tcPr>
            <w:tcW w:type="dxa" w:w="3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Strength tiers</w:t>
            </w:r>
          </w:p>
        </w:tc>
        <w:tc>
          <w:tcPr>
            <w:tcW w:type="dxa" w:w="26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Tickers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Identity and Encryption Incumbents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 Significant (IBM, NET); 3 Peripheral (CRWD, PANW, FTNT)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IBM, NET, CRWD, PANW, FTNT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Compliance and Migration Services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 Significant (BAH, LDOS, CACI); 1 Peripheral (ACN)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BAH, LDOS, CACI, ACN</w:t>
            </w:r>
          </w:p>
        </w:tc>
      </w:tr>
    </w:tbl>
    <w:p>
      <w:pPr>
        <w:pStyle w:val="Heading2"/>
        <w:spacing w:after="160" w:before="300"/>
      </w:pPr>
      <w:r>
        <w:rPr>
          <w:rFonts w:ascii="Arial" w:cs="Arial" w:eastAsia="Arial" w:hAnsi="Arial"/>
          <w:b/>
          <w:bCs/>
          <w:sz w:val="28"/>
          <w:szCs w:val="28"/>
        </w:rPr>
        <w:t xml:space="preserve">4.8 Headwind Names (AI Disruption of Horizontal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500"/>
        <w:gridCol w:w="5060"/>
      </w:tblGrid>
      <w:tr>
        <w:trPr>
          <w:tblHeader/>
        </w:trP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Ticker</w:t>
            </w:r>
          </w:p>
        </w:tc>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Strength</w:t>
            </w:r>
          </w:p>
        </w:tc>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Confidence</w:t>
            </w:r>
          </w:p>
        </w:tc>
        <w:tc>
          <w:tcPr>
            <w:tcW w:type="dxa" w:w="5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Rationale (abbreviated)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HUBS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Mid-market CRM + marketing automation — thin-moat target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ASAN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Project management — workflow UI over task DB</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Incident management — DB + workflow exposure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FRSH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Mid-market CRM/support — direct HUBS analog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TWLO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Significant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Comms APIs commoditizing as LLMs handle orchestration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DBX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Significant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File storage/collaboration — thin moat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BOX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Significant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File storage — some enterprise compliance offset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ZM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Significant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Video conferencing — AI Companion partially offsets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Peripheral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E-signature — regulated-systems moat partially offsets</w:t>
            </w:r>
          </w:p>
        </w:tc>
      </w:tr>
    </w:tbl>
    <w:p>
      <w:pPr>
        <w:pStyle w:val="Heading1"/>
        <w:spacing w:after="200" w:before="360"/>
      </w:pPr>
      <w:r>
        <w:rPr>
          <w:rFonts w:ascii="Arial" w:cs="Arial" w:eastAsia="Arial" w:hAnsi="Arial"/>
          <w:b/>
          <w:bCs/>
          <w:sz w:val="32"/>
          <w:szCs w:val="32"/>
        </w:rPr>
        <w:t xml:space="preserve">5. Key Design Decisions</w:t>
      </w:r>
    </w:p>
    <w:p>
      <w:pPr>
        <w:pStyle w:val="Heading2"/>
        <w:spacing w:after="160" w:before="300"/>
      </w:pPr>
      <w:r>
        <w:rPr>
          <w:rFonts w:ascii="Arial" w:cs="Arial" w:eastAsia="Arial" w:hAnsi="Arial"/>
          <w:b/>
          <w:bCs/>
          <w:sz w:val="28"/>
          <w:szCs w:val="28"/>
        </w:rPr>
        <w:t xml:space="preserve">5.1 Direction is binary — no "Mixed"</w:t>
      </w:r>
    </w:p>
    <w:p>
      <w:pPr>
        <w:pStyle w:val="ListParagraph"/>
        <w:numPr>
          <w:ilvl w:val="0"/>
          <w:numId w:val="2"/>
        </w:numPr>
        <w:spacing w:after="60"/>
      </w:pPr>
      <w:r>
        <w:rPr>
          <w:rFonts w:ascii="Arial" w:cs="Arial" w:eastAsia="Arial" w:hAnsi="Arial"/>
          <w:sz w:val="22"/>
          <w:szCs w:val="22"/>
        </w:rPr>
        <w:t xml:space="preserve">Permitted values on EXPOSED_TO.direction: Tailwind or Headwind only</w:t>
      </w:r>
    </w:p>
    <w:p>
      <w:pPr>
        <w:pStyle w:val="ListParagraph"/>
        <w:numPr>
          <w:ilvl w:val="0"/>
          <w:numId w:val="2"/>
        </w:numPr>
        <w:spacing w:after="60"/>
      </w:pPr>
      <w:r>
        <w:rPr>
          <w:rFonts w:ascii="Arial" w:cs="Arial" w:eastAsia="Arial" w:hAnsi="Arial"/>
          <w:sz w:val="22"/>
          <w:szCs w:val="22"/>
        </w:rPr>
        <w:t xml:space="preserve">Genuinely mixed exposures get UNDER_REVIEW relationship instead, or two separate edges to two separate themes</w:t>
      </w:r>
    </w:p>
    <w:p>
      <w:pPr>
        <w:pStyle w:val="ListParagraph"/>
        <w:numPr>
          <w:ilvl w:val="0"/>
          <w:numId w:val="2"/>
        </w:numPr>
        <w:spacing w:after="60"/>
      </w:pPr>
      <w:r>
        <w:rPr>
          <w:rFonts w:ascii="Arial" w:cs="Arial" w:eastAsia="Arial" w:hAnsi="Arial"/>
          <w:sz w:val="22"/>
          <w:szCs w:val="22"/>
        </w:rPr>
        <w:t xml:space="preserve">Rationale: every analytical query would otherwise need a WHERE direction &lt;&gt; "Mixed" filter — noise compounds at scale</w:t>
      </w:r>
    </w:p>
    <w:p>
      <w:pPr>
        <w:pStyle w:val="Heading2"/>
        <w:spacing w:after="160" w:before="300"/>
      </w:pPr>
      <w:r>
        <w:rPr>
          <w:rFonts w:ascii="Arial" w:cs="Arial" w:eastAsia="Arial" w:hAnsi="Arial"/>
          <w:b/>
          <w:bCs/>
          <w:sz w:val="28"/>
          <w:szCs w:val="28"/>
        </w:rPr>
        <w:t xml:space="preserve">5.2 UNDER_REVIEW is a separate relationship type</w:t>
      </w:r>
    </w:p>
    <w:p>
      <w:pPr>
        <w:pStyle w:val="ListParagraph"/>
        <w:numPr>
          <w:ilvl w:val="0"/>
          <w:numId w:val="2"/>
        </w:numPr>
        <w:spacing w:after="60"/>
      </w:pPr>
      <w:r>
        <w:rPr>
          <w:rFonts w:ascii="Arial" w:cs="Arial" w:eastAsia="Arial" w:hAnsi="Arial"/>
          <w:sz w:val="22"/>
          <w:szCs w:val="22"/>
        </w:rPr>
        <w:t xml:space="preserve">Never inferred or set by migration — only by deliberate user action</w:t>
      </w:r>
    </w:p>
    <w:p>
      <w:pPr>
        <w:pStyle w:val="ListParagraph"/>
        <w:numPr>
          <w:ilvl w:val="0"/>
          <w:numId w:val="2"/>
        </w:numPr>
        <w:spacing w:after="60"/>
      </w:pPr>
      <w:r>
        <w:rPr>
          <w:rFonts w:ascii="Arial" w:cs="Arial" w:eastAsia="Arial" w:hAnsi="Arial"/>
          <w:sz w:val="22"/>
          <w:szCs w:val="22"/>
        </w:rPr>
        <w:t xml:space="preserve">Invisible by default to EXPOSED_TO queries — under-review items don’t pollute analyses</w:t>
      </w:r>
    </w:p>
    <w:p>
      <w:pPr>
        <w:pStyle w:val="ListParagraph"/>
        <w:numPr>
          <w:ilvl w:val="0"/>
          <w:numId w:val="2"/>
        </w:numPr>
        <w:spacing w:after="60"/>
      </w:pPr>
      <w:r>
        <w:rPr>
          <w:rFonts w:ascii="Arial" w:cs="Arial" w:eastAsia="Arial" w:hAnsi="Arial"/>
          <w:sz w:val="22"/>
          <w:szCs w:val="22"/>
        </w:rPr>
        <w:t xml:space="preserve">Two-step lifecycle: delete UNDER_REVIEW edge, create EXPOSED_TO edge once decided</w:t>
      </w:r>
    </w:p>
    <w:p>
      <w:pPr>
        <w:pStyle w:val="Heading2"/>
        <w:spacing w:after="160" w:before="300"/>
      </w:pPr>
      <w:r>
        <w:rPr>
          <w:rFonts w:ascii="Arial" w:cs="Arial" w:eastAsia="Arial" w:hAnsi="Arial"/>
          <w:b/>
          <w:bCs/>
          <w:sz w:val="28"/>
          <w:szCs w:val="28"/>
        </w:rPr>
        <w:t xml:space="preserve">5.3 Conviction (theme) vs. Confidence (edge) vs. Strength (edge)</w:t>
      </w:r>
    </w:p>
    <w:p>
      <w:pPr>
        <w:spacing w:after="120"/>
      </w:pPr>
      <w:r>
        <w:rPr>
          <w:rFonts w:ascii="Arial" w:cs="Arial" w:eastAsia="Arial" w:hAnsi="Arial"/>
          <w:sz w:val="22"/>
          <w:szCs w:val="22"/>
        </w:rPr>
        <w:t xml:space="preserve">Three independent dimensions that should not be conflated:</w:t>
      </w:r>
    </w:p>
    <w:p>
      <w:pPr>
        <w:pStyle w:val="ListParagraph"/>
        <w:numPr>
          <w:ilvl w:val="0"/>
          <w:numId w:val="2"/>
        </w:numPr>
        <w:spacing w:after="60"/>
      </w:pPr>
      <w:r>
        <w:rPr>
          <w:rFonts w:ascii="Arial" w:cs="Arial" w:eastAsia="Arial" w:hAnsi="Arial"/>
          <w:sz w:val="22"/>
          <w:szCs w:val="22"/>
        </w:rPr>
        <w:t xml:space="preserve">Conviction — lives on the Theme node — "Do I believe the thesis?"</w:t>
      </w:r>
    </w:p>
    <w:p>
      <w:pPr>
        <w:pStyle w:val="ListParagraph"/>
        <w:numPr>
          <w:ilvl w:val="0"/>
          <w:numId w:val="2"/>
        </w:numPr>
        <w:spacing w:after="60"/>
      </w:pPr>
      <w:r>
        <w:rPr>
          <w:rFonts w:ascii="Arial" w:cs="Arial" w:eastAsia="Arial" w:hAnsi="Arial"/>
          <w:sz w:val="22"/>
          <w:szCs w:val="22"/>
        </w:rPr>
        <w:t xml:space="preserve">Strength — lives on the EXPOSED_TO edge — "How much does this theme matter for this stock?"</w:t>
      </w:r>
    </w:p>
    <w:p>
      <w:pPr>
        <w:pStyle w:val="ListParagraph"/>
        <w:numPr>
          <w:ilvl w:val="0"/>
          <w:numId w:val="2"/>
        </w:numPr>
        <w:spacing w:after="60"/>
      </w:pPr>
      <w:r>
        <w:rPr>
          <w:rFonts w:ascii="Arial" w:cs="Arial" w:eastAsia="Arial" w:hAnsi="Arial"/>
          <w:sz w:val="22"/>
          <w:szCs w:val="22"/>
        </w:rPr>
        <w:t xml:space="preserve">Confidence — lives on the EXPOSED_TO edge — "Am I sure about this specific link?"</w:t>
      </w:r>
    </w:p>
    <w:p>
      <w:pPr>
        <w:spacing w:after="120"/>
      </w:pPr>
      <w:r>
        <w:rPr>
          <w:rFonts w:ascii="Arial" w:cs="Arial" w:eastAsia="Arial" w:hAnsi="Arial"/>
          <w:sz w:val="22"/>
          <w:szCs w:val="22"/>
        </w:rPr>
        <w:t xml:space="preserve">A company can have high edge confidence on a low-conviction theme (clean expression of a speculative idea), or low confidence on a high-conviction theme (probably exposed but mechanism unclear). The PQC tree is a clean example: theme conviction is High because the deadlines are mandated; edge confidence ranges from High (IBM, NET, BAH, LDOS) to Medium (CRWD, PANW, FTNT, CACI, ACN) based on directness of PQC revenue tie-in.</w:t>
      </w:r>
    </w:p>
    <w:p>
      <w:pPr>
        <w:pStyle w:val="Heading2"/>
        <w:spacing w:after="160" w:before="300"/>
      </w:pPr>
      <w:r>
        <w:rPr>
          <w:rFonts w:ascii="Arial" w:cs="Arial" w:eastAsia="Arial" w:hAnsi="Arial"/>
          <w:b/>
          <w:bCs/>
          <w:sz w:val="28"/>
          <w:szCs w:val="28"/>
        </w:rPr>
        <w:t xml:space="preserve">5.4 Audit trail for AI-inferred values</w:t>
      </w:r>
    </w:p>
    <w:p>
      <w:pPr>
        <w:pStyle w:val="ListParagraph"/>
        <w:numPr>
          <w:ilvl w:val="0"/>
          <w:numId w:val="2"/>
        </w:numPr>
        <w:spacing w:after="60"/>
      </w:pPr>
      <w:r>
        <w:rPr>
          <w:rFonts w:ascii="Arial" w:cs="Arial" w:eastAsia="Arial" w:hAnsi="Arial"/>
          <w:sz w:val="22"/>
          <w:szCs w:val="22"/>
        </w:rPr>
        <w:t xml:space="preserve">Theme nodes carry conviction_source — values include "User-authored", "User-confirmed", "Claude-inferred"</w:t>
      </w:r>
    </w:p>
    <w:p>
      <w:pPr>
        <w:pStyle w:val="ListParagraph"/>
        <w:numPr>
          <w:ilvl w:val="0"/>
          <w:numId w:val="2"/>
        </w:numPr>
        <w:spacing w:after="60"/>
      </w:pPr>
      <w:r>
        <w:rPr>
          <w:rFonts w:ascii="Arial" w:cs="Arial" w:eastAsia="Arial" w:hAnsi="Arial"/>
          <w:sz w:val="22"/>
          <w:szCs w:val="22"/>
        </w:rPr>
        <w:t xml:space="preserve">Anything propagated by AI is flagged so it can be reviewed and either confirmed or rewritten</w:t>
      </w:r>
    </w:p>
    <w:p>
      <w:pPr>
        <w:pStyle w:val="ListParagraph"/>
        <w:numPr>
          <w:ilvl w:val="0"/>
          <w:numId w:val="2"/>
        </w:numPr>
        <w:spacing w:after="60"/>
      </w:pPr>
      <w:r>
        <w:rPr>
          <w:rFonts w:ascii="Arial" w:cs="Arial" w:eastAsia="Arial" w:hAnsi="Arial"/>
          <w:sz w:val="22"/>
          <w:szCs w:val="22"/>
        </w:rPr>
        <w:t xml:space="preserve">EXPOSED_TO edges carry reviewed = false until user confirms; flip to true on review</w:t>
      </w:r>
    </w:p>
    <w:p>
      <w:pPr>
        <w:pStyle w:val="ListParagraph"/>
        <w:numPr>
          <w:ilvl w:val="0"/>
          <w:numId w:val="2"/>
        </w:numPr>
        <w:spacing w:after="60"/>
      </w:pPr>
      <w:r>
        <w:rPr>
          <w:rFonts w:ascii="Arial" w:cs="Arial" w:eastAsia="Arial" w:hAnsi="Arial"/>
          <w:sz w:val="22"/>
          <w:szCs w:val="22"/>
        </w:rPr>
        <w:t xml:space="preserve">Prevents AI opinions from silently becoming data</w:t>
      </w:r>
    </w:p>
    <w:p>
      <w:pPr>
        <w:pStyle w:val="Heading2"/>
        <w:spacing w:after="160" w:before="300"/>
      </w:pPr>
      <w:r>
        <w:rPr>
          <w:rFonts w:ascii="Arial" w:cs="Arial" w:eastAsia="Arial" w:hAnsi="Arial"/>
          <w:b/>
          <w:bCs/>
          <w:sz w:val="28"/>
          <w:szCs w:val="28"/>
        </w:rPr>
        <w:t xml:space="preserve">5.5 One canonical listing per company</w:t>
      </w:r>
    </w:p>
    <w:p>
      <w:pPr>
        <w:pStyle w:val="ListParagraph"/>
        <w:numPr>
          <w:ilvl w:val="0"/>
          <w:numId w:val="2"/>
        </w:numPr>
        <w:spacing w:after="60"/>
      </w:pPr>
      <w:r>
        <w:rPr>
          <w:rFonts w:ascii="Arial" w:cs="Arial" w:eastAsia="Arial" w:hAnsi="Arial"/>
          <w:sz w:val="22"/>
          <w:szCs w:val="22"/>
        </w:rPr>
        <w:t xml:space="preserve">Bloomberg ticker format (e.g., "SHOP CN Equity") already enforces single-listing discipline</w:t>
      </w:r>
    </w:p>
    <w:p>
      <w:pPr>
        <w:pStyle w:val="ListParagraph"/>
        <w:numPr>
          <w:ilvl w:val="0"/>
          <w:numId w:val="2"/>
        </w:numPr>
        <w:spacing w:after="60"/>
      </w:pPr>
      <w:r>
        <w:rPr>
          <w:rFonts w:ascii="Arial" w:cs="Arial" w:eastAsia="Arial" w:hAnsi="Arial"/>
          <w:sz w:val="22"/>
          <w:szCs w:val="22"/>
        </w:rPr>
        <w:t xml:space="preserve">Dual-listed names (Shopify Toronto/NYSE) use the canonical listing only — no forking</w:t>
      </w:r>
    </w:p>
    <w:p>
      <w:pPr>
        <w:pStyle w:val="ListParagraph"/>
        <w:numPr>
          <w:ilvl w:val="0"/>
          <w:numId w:val="2"/>
        </w:numPr>
        <w:spacing w:after="60"/>
      </w:pPr>
      <w:r>
        <w:rPr>
          <w:rFonts w:ascii="Arial" w:cs="Arial" w:eastAsia="Arial" w:hAnsi="Arial"/>
          <w:sz w:val="22"/>
          <w:szCs w:val="22"/>
        </w:rPr>
        <w:t xml:space="preserve">Prevents market-cap double-counting and analytical drift</w:t>
      </w:r>
    </w:p>
    <w:p>
      <w:pPr>
        <w:pStyle w:val="Heading2"/>
        <w:spacing w:after="160" w:before="300"/>
      </w:pPr>
      <w:r>
        <w:rPr>
          <w:rFonts w:ascii="Arial" w:cs="Arial" w:eastAsia="Arial" w:hAnsi="Arial"/>
          <w:b/>
          <w:bCs/>
          <w:sz w:val="28"/>
          <w:szCs w:val="28"/>
        </w:rPr>
        <w:t xml:space="preserve">5.6 Pre-IPO companies are explicitly flagged, not invented</w:t>
      </w:r>
    </w:p>
    <w:p>
      <w:pPr>
        <w:spacing w:after="120"/>
      </w:pPr>
      <w:r>
        <w:rPr>
          <w:rFonts w:ascii="Arial" w:cs="Arial" w:eastAsia="Arial" w:hAnsi="Arial"/>
          <w:sz w:val="22"/>
          <w:szCs w:val="22"/>
        </w:rPr>
        <w:t xml:space="preserve">When a company has filed but not yet priced (e.g., Quantinuum / QNT US Equity), a Company node is created with listing_status = "Pre-IPO" and a migration_status note. No GICS classification edges are added until the company appears in a refreshed universe CSV.</w:t>
      </w:r>
    </w:p>
    <w:p>
      <w:pPr>
        <w:pStyle w:val="Heading2"/>
        <w:spacing w:after="160" w:before="300"/>
      </w:pPr>
      <w:r>
        <w:rPr>
          <w:rFonts w:ascii="Arial" w:cs="Arial" w:eastAsia="Arial" w:hAnsi="Arial"/>
          <w:b/>
          <w:bCs/>
          <w:sz w:val="28"/>
          <w:szCs w:val="28"/>
        </w:rPr>
        <w:t xml:space="preserve">5.7 The graph is a confidence-filtered view, not a census</w:t>
      </w:r>
    </w:p>
    <w:p>
      <w:pPr>
        <w:pStyle w:val="ListParagraph"/>
        <w:numPr>
          <w:ilvl w:val="0"/>
          <w:numId w:val="2"/>
        </w:numPr>
        <w:spacing w:after="60"/>
      </w:pPr>
      <w:r>
        <w:rPr>
          <w:rFonts w:ascii="Arial" w:cs="Arial" w:eastAsia="Arial" w:hAnsi="Arial"/>
          <w:sz w:val="22"/>
          <w:szCs w:val="22"/>
        </w:rPr>
        <w:t xml:space="preserve">Absence of an edge is meaningful: no decided exposure, or not yet analyzed</w:t>
      </w:r>
    </w:p>
    <w:p>
      <w:pPr>
        <w:pStyle w:val="ListParagraph"/>
        <w:numPr>
          <w:ilvl w:val="0"/>
          <w:numId w:val="2"/>
        </w:numPr>
        <w:spacing w:after="60"/>
      </w:pPr>
      <w:r>
        <w:rPr>
          <w:rFonts w:ascii="Arial" w:cs="Arial" w:eastAsia="Arial" w:hAnsi="Arial"/>
          <w:sz w:val="22"/>
          <w:szCs w:val="22"/>
        </w:rPr>
        <w:t xml:space="preserve">Every EXPOSED_TO edge is high-information by design</w:t>
      </w:r>
    </w:p>
    <w:p>
      <w:pPr>
        <w:pStyle w:val="ListParagraph"/>
        <w:numPr>
          <w:ilvl w:val="0"/>
          <w:numId w:val="2"/>
        </w:numPr>
        <w:spacing w:after="60"/>
      </w:pPr>
      <w:r>
        <w:rPr>
          <w:rFonts w:ascii="Arial" w:cs="Arial" w:eastAsia="Arial" w:hAnsi="Arial"/>
          <w:sz w:val="22"/>
          <w:szCs w:val="22"/>
        </w:rPr>
        <w:t xml:space="preserve">Coverage-gap queries (e.g., "Application Software names with no theme exposure") surface what’s still to be reviewed</w:t>
      </w:r>
    </w:p>
    <w:p>
      <w:pPr>
        <w:pStyle w:val="Heading2"/>
        <w:spacing w:after="160" w:before="300"/>
      </w:pPr>
      <w:r>
        <w:rPr>
          <w:rFonts w:ascii="Arial" w:cs="Arial" w:eastAsia="Arial" w:hAnsi="Arial"/>
          <w:b/>
          <w:bCs/>
          <w:sz w:val="28"/>
          <w:szCs w:val="28"/>
        </w:rPr>
        <w:t xml:space="preserve">5.8 Hierarchy (CHILD_OF) vs. Topical grouping (TAGGED_AS)</w:t>
      </w:r>
    </w:p>
    <w:p>
      <w:pPr>
        <w:spacing w:after="120"/>
      </w:pPr>
      <w:r>
        <w:rPr>
          <w:rFonts w:ascii="Arial" w:cs="Arial" w:eastAsia="Arial" w:hAnsi="Arial"/>
          <w:sz w:val="22"/>
          <w:szCs w:val="22"/>
        </w:rPr>
        <w:t xml:space="preserve">These solve different problems and should not be conflated:</w:t>
      </w:r>
    </w:p>
    <w:p>
      <w:pPr>
        <w:pStyle w:val="ListParagraph"/>
        <w:numPr>
          <w:ilvl w:val="0"/>
          <w:numId w:val="2"/>
        </w:numPr>
        <w:spacing w:after="60"/>
      </w:pPr>
      <w:r>
        <w:rPr>
          <w:rFonts w:ascii="Arial" w:cs="Arial" w:eastAsia="Arial" w:hAnsi="Arial"/>
          <w:sz w:val="22"/>
          <w:szCs w:val="22"/>
        </w:rPr>
        <w:t xml:space="preserve">CHILD_OF means "is a structural sub-component of a larger thesis" (e.g., Existential Infrastructure is a tier of Mission-Critical Infrastructure within the SaaS Durability thesis)</w:t>
      </w:r>
    </w:p>
    <w:p>
      <w:pPr>
        <w:pStyle w:val="ListParagraph"/>
        <w:numPr>
          <w:ilvl w:val="0"/>
          <w:numId w:val="2"/>
        </w:numPr>
        <w:spacing w:after="60"/>
      </w:pPr>
      <w:r>
        <w:rPr>
          <w:rFonts w:ascii="Arial" w:cs="Arial" w:eastAsia="Arial" w:hAnsi="Arial"/>
          <w:sz w:val="22"/>
          <w:szCs w:val="22"/>
        </w:rPr>
        <w:t xml:space="preserve">TAGGED_AS means "is editorially about the same subject area, but the theses are economically independent" (e.g., PQC Migration and Quantum Computing Beneficiaries both relate to quantum but the drivers and beneficiary lists are distinct)</w:t>
      </w:r>
    </w:p>
    <w:p>
      <w:pPr>
        <w:pStyle w:val="ListParagraph"/>
        <w:numPr>
          <w:ilvl w:val="0"/>
          <w:numId w:val="2"/>
        </w:numPr>
        <w:spacing w:after="60"/>
      </w:pPr>
      <w:r>
        <w:rPr>
          <w:rFonts w:ascii="Arial" w:cs="Arial" w:eastAsia="Arial" w:hAnsi="Arial"/>
          <w:sz w:val="22"/>
          <w:szCs w:val="22"/>
        </w:rPr>
        <w:t xml:space="preserve">Convention: tag only L1 parent themes — the variable-depth CHILD_OF traversal then reaches all descendants automatically</w:t>
      </w:r>
    </w:p>
    <w:p>
      <w:pPr>
        <w:pStyle w:val="ListParagraph"/>
        <w:numPr>
          <w:ilvl w:val="0"/>
          <w:numId w:val="2"/>
        </w:numPr>
        <w:spacing w:after="60"/>
      </w:pPr>
      <w:r>
        <w:rPr>
          <w:rFonts w:ascii="Arial" w:cs="Arial" w:eastAsia="Arial" w:hAnsi="Arial"/>
          <w:sz w:val="22"/>
          <w:szCs w:val="22"/>
        </w:rPr>
        <w:t xml:space="preserve">A theme can be both a child of one theme and tagged to a topic; the two concerns are orthogonal</w:t>
      </w:r>
    </w:p>
    <w:p>
      <w:pPr>
        <w:pStyle w:val="Heading2"/>
        <w:spacing w:after="160" w:before="300"/>
      </w:pPr>
      <w:r>
        <w:rPr>
          <w:rFonts w:ascii="Arial" w:cs="Arial" w:eastAsia="Arial" w:hAnsi="Arial"/>
          <w:b/>
          <w:bCs/>
          <w:sz w:val="28"/>
          <w:szCs w:val="28"/>
        </w:rPr>
        <w:t xml:space="preserve">5.9 Multi-theme exposures are intentional, not duplicative</w:t>
      </w:r>
    </w:p>
    <w:p>
      <w:pPr>
        <w:spacing w:after="120"/>
      </w:pPr>
      <w:r>
        <w:rPr>
          <w:rFonts w:ascii="Arial" w:cs="Arial" w:eastAsia="Arial" w:hAnsi="Arial"/>
          <w:sz w:val="22"/>
          <w:szCs w:val="22"/>
        </w:rPr>
        <w:t xml:space="preserve">Some companies legitimately belong to multiple themes through different mechanisms. PANW, CRWD, NET, and FTNT carry edges to both Cybersecurity Tailwind (threat-driven) and PQC - Identity and Encryption Incumbents (deadline-driven). The edges are not duplicates — each captures a distinct economic driver with a distinct mechanism. A RELATES_TO link between the parent themes documents the overlap so analysts know to expect it.</w:t>
      </w:r>
    </w:p>
    <w:p>
      <w:pPr>
        <w:pStyle w:val="Heading1"/>
        <w:spacing w:after="200" w:before="360"/>
      </w:pPr>
      <w:r>
        <w:rPr>
          <w:rFonts w:ascii="Arial" w:cs="Arial" w:eastAsia="Arial" w:hAnsi="Arial"/>
          <w:b/>
          <w:bCs/>
          <w:sz w:val="32"/>
          <w:szCs w:val="32"/>
        </w:rPr>
        <w:t xml:space="preserve">Appendix A — Cypher Query Patterns</w:t>
      </w:r>
    </w:p>
    <w:p>
      <w:pPr>
        <w:pStyle w:val="Heading3"/>
        <w:spacing w:after="120" w:before="240"/>
      </w:pPr>
      <w:r>
        <w:rPr>
          <w:rFonts w:ascii="Arial" w:cs="Arial" w:eastAsia="Arial" w:hAnsi="Arial"/>
          <w:b/>
          <w:bCs/>
          <w:sz w:val="24"/>
          <w:szCs w:val="24"/>
        </w:rPr>
        <w:t xml:space="preserve">A.1 Variable-depth theme traversal</w:t>
      </w:r>
    </w:p>
    <w:p>
      <w:pPr>
        <w:spacing w:after="120"/>
      </w:pPr>
      <w:r>
        <w:rPr>
          <w:rFonts w:ascii="Arial" w:cs="Arial" w:eastAsia="Arial" w:hAnsi="Arial"/>
          <w:sz w:val="22"/>
          <w:szCs w:val="22"/>
        </w:rPr>
        <w:t xml:space="preserve">Find all companies exposed to any sub-theme under a parent theme:</w:t>
      </w:r>
    </w:p>
    <w:p>
      <w:pPr>
        <w:spacing w:after="120"/>
      </w:pPr>
      <w:r>
        <w:rPr>
          <w:rFonts w:ascii="Courier New" w:cs="Courier New" w:eastAsia="Courier New" w:hAnsi="Courier New"/>
          <w:sz w:val="20"/>
          <w:szCs w:val="20"/>
        </w:rPr>
        <w:t xml:space="preserve">MATCH (root:Theme {name: "Post-Quantum Cryptography Migration"})&lt;-[:CHILD_OF*0..]-(t:Theme)&lt;-[r:EXPOSED_TO]-(c:Company) RETURN DISTINCT c.ticker, c.shortName</w:t>
      </w:r>
    </w:p>
    <w:p>
      <w:pPr>
        <w:pStyle w:val="Heading3"/>
        <w:spacing w:after="120" w:before="240"/>
      </w:pPr>
      <w:r>
        <w:rPr>
          <w:rFonts w:ascii="Arial" w:cs="Arial" w:eastAsia="Arial" w:hAnsi="Arial"/>
          <w:b/>
          <w:bCs/>
          <w:sz w:val="24"/>
          <w:szCs w:val="24"/>
        </w:rPr>
        <w:t xml:space="preserve">A.2 Topical traversal (across L1 parents in a topic)</w:t>
      </w:r>
    </w:p>
    <w:p>
      <w:pPr>
        <w:spacing w:after="120"/>
      </w:pPr>
      <w:r>
        <w:rPr>
          <w:rFonts w:ascii="Courier New" w:cs="Courier New" w:eastAsia="Courier New" w:hAnsi="Courier New"/>
          <w:sz w:val="20"/>
          <w:szCs w:val="20"/>
        </w:rPr>
        <w:t xml:space="preserve">MATCH (:Topic {name: "QUANTUM"})&lt;-[:TAGGED_AS]-(parent:Theme)&lt;-[:CHILD_OF*0..]-(t:Theme)&lt;-[r:EXPOSED_TO]-(c:Company) RETURN DISTINCT parent.name, c.ticker, c.shortName</w:t>
      </w:r>
    </w:p>
    <w:p>
      <w:pPr>
        <w:pStyle w:val="Heading3"/>
        <w:spacing w:after="120" w:before="240"/>
      </w:pPr>
      <w:r>
        <w:rPr>
          <w:rFonts w:ascii="Arial" w:cs="Arial" w:eastAsia="Arial" w:hAnsi="Arial"/>
          <w:b/>
          <w:bCs/>
          <w:sz w:val="24"/>
          <w:szCs w:val="24"/>
        </w:rPr>
        <w:t xml:space="preserve">A.3 Cross-dimensional slicing</w:t>
      </w:r>
    </w:p>
    <w:p>
      <w:pPr>
        <w:spacing w:after="120"/>
      </w:pPr>
      <w:r>
        <w:rPr>
          <w:rFonts w:ascii="Arial" w:cs="Arial" w:eastAsia="Arial" w:hAnsi="Arial"/>
          <w:sz w:val="22"/>
          <w:szCs w:val="22"/>
        </w:rPr>
        <w:t xml:space="preserve">Theme exposure by GICS sector:</w:t>
      </w:r>
    </w:p>
    <w:p>
      <w:pPr>
        <w:spacing w:after="120"/>
      </w:pPr>
      <w:r>
        <w:rPr>
          <w:rFonts w:ascii="Courier New" w:cs="Courier New" w:eastAsia="Courier New" w:hAnsi="Courier New"/>
          <w:sz w:val="20"/>
          <w:szCs w:val="20"/>
        </w:rPr>
        <w:t xml:space="preserve">MATCH (c:Company)-[r:EXPOSED_TO]-&gt;(t:Theme) MATCH (c)-[:IN_SECTOR]-&gt;(s:Sector) RETURN t.name AS theme, s.name AS sector, count(c) AS companies ORDER BY theme, companies DESC</w:t>
      </w:r>
    </w:p>
    <w:p>
      <w:pPr>
        <w:pStyle w:val="Heading3"/>
        <w:spacing w:after="120" w:before="240"/>
      </w:pPr>
      <w:r>
        <w:rPr>
          <w:rFonts w:ascii="Arial" w:cs="Arial" w:eastAsia="Arial" w:hAnsi="Arial"/>
          <w:b/>
          <w:bCs/>
          <w:sz w:val="24"/>
          <w:szCs w:val="24"/>
        </w:rPr>
        <w:t xml:space="preserve">A.4 Tailwind/Headwind balance per theme</w:t>
      </w:r>
    </w:p>
    <w:p>
      <w:pPr>
        <w:spacing w:after="120"/>
      </w:pPr>
      <w:r>
        <w:rPr>
          <w:rFonts w:ascii="Courier New" w:cs="Courier New" w:eastAsia="Courier New" w:hAnsi="Courier New"/>
          <w:sz w:val="20"/>
          <w:szCs w:val="20"/>
        </w:rPr>
        <w:t xml:space="preserve">MATCH (c:Company)-[r:EXPOSED_TO]-&gt;(t:Theme) RETURN t.name AS theme, sum(CASE r.direction WHEN "Tailwind" THEN 1 ELSE 0 END) AS tailwinds, sum(CASE r.direction WHEN "Headwind" THEN 1 ELSE 0 END) AS headwinds ORDER BY theme</w:t>
      </w:r>
    </w:p>
    <w:p>
      <w:pPr>
        <w:pStyle w:val="Heading3"/>
        <w:spacing w:after="120" w:before="240"/>
      </w:pPr>
      <w:r>
        <w:rPr>
          <w:rFonts w:ascii="Arial" w:cs="Arial" w:eastAsia="Arial" w:hAnsi="Arial"/>
          <w:b/>
          <w:bCs/>
          <w:sz w:val="24"/>
          <w:szCs w:val="24"/>
        </w:rPr>
        <w:t xml:space="preserve">A.5 Confidence audit — unreviewed edges by theme</w:t>
      </w:r>
    </w:p>
    <w:p>
      <w:pPr>
        <w:spacing w:after="120"/>
      </w:pPr>
      <w:r>
        <w:rPr>
          <w:rFonts w:ascii="Courier New" w:cs="Courier New" w:eastAsia="Courier New" w:hAnsi="Courier New"/>
          <w:sz w:val="20"/>
          <w:szCs w:val="20"/>
        </w:rPr>
        <w:t xml:space="preserve">MATCH (c:Company)-[r:EXPOSED_TO]-&gt;(t:Theme) WHERE r.reviewed = false RETURN t.name AS theme, count(r) AS unreviewed_edges ORDER BY unreviewed_edges DESC</w:t>
      </w:r>
    </w:p>
    <w:p>
      <w:pPr>
        <w:pStyle w:val="Heading3"/>
        <w:spacing w:after="120" w:before="240"/>
      </w:pPr>
      <w:r>
        <w:rPr>
          <w:rFonts w:ascii="Arial" w:cs="Arial" w:eastAsia="Arial" w:hAnsi="Arial"/>
          <w:b/>
          <w:bCs/>
          <w:sz w:val="24"/>
          <w:szCs w:val="24"/>
        </w:rPr>
        <w:t xml:space="preserve">A.6 Companies with multiple theme exposures (overlap detection)</w:t>
      </w:r>
    </w:p>
    <w:p>
      <w:pPr>
        <w:spacing w:after="120"/>
      </w:pPr>
      <w:r>
        <w:rPr>
          <w:rFonts w:ascii="Courier New" w:cs="Courier New" w:eastAsia="Courier New" w:hAnsi="Courier New"/>
          <w:sz w:val="20"/>
          <w:szCs w:val="20"/>
        </w:rPr>
        <w:t xml:space="preserve">MATCH (c:Company)-[r:EXPOSED_TO]-&gt;(t:Theme) WITH c, count(DISTINCT t) AS theme_count, collect(t.name) AS themes WHERE theme_count &gt; 1 RETURN c.ticker, c.shortName, theme_count, themes ORDER BY theme_count DESC</w:t>
      </w:r>
    </w:p>
    <w:p>
      <w:pPr>
        <w:pStyle w:val="Heading3"/>
        <w:spacing w:after="120" w:before="240"/>
      </w:pPr>
      <w:r>
        <w:rPr>
          <w:rFonts w:ascii="Arial" w:cs="Arial" w:eastAsia="Arial" w:hAnsi="Arial"/>
          <w:b/>
          <w:bCs/>
          <w:sz w:val="24"/>
          <w:szCs w:val="24"/>
        </w:rPr>
        <w:t xml:space="preserve">A.7 Pre-IPO and orphan inventory</w:t>
      </w:r>
    </w:p>
    <w:p>
      <w:pPr>
        <w:spacing w:after="120"/>
      </w:pPr>
      <w:r>
        <w:rPr>
          <w:rFonts w:ascii="Courier New" w:cs="Courier New" w:eastAsia="Courier New" w:hAnsi="Courier New"/>
          <w:sz w:val="20"/>
          <w:szCs w:val="20"/>
        </w:rPr>
        <w:t xml:space="preserve">MATCH (c:Company) WHERE c.listing_status = "Pre-IPO" OR c.migration_status IS NOT NULL RETURN c.ticker, c.shortName, c.listing_status, c.migration_status</w:t>
      </w:r>
    </w:p>
    <w:p>
      <w:pPr>
        <w:pStyle w:val="Heading3"/>
        <w:spacing w:after="120" w:before="240"/>
      </w:pPr>
      <w:r>
        <w:rPr>
          <w:rFonts w:ascii="Arial" w:cs="Arial" w:eastAsia="Arial" w:hAnsi="Arial"/>
          <w:b/>
          <w:bCs/>
          <w:sz w:val="24"/>
          <w:szCs w:val="24"/>
        </w:rPr>
        <w:t xml:space="preserve">A.8 Coverage gap analysis</w:t>
      </w:r>
    </w:p>
    <w:p>
      <w:pPr>
        <w:spacing w:after="120"/>
      </w:pPr>
      <w:r>
        <w:rPr>
          <w:rFonts w:ascii="Arial" w:cs="Arial" w:eastAsia="Arial" w:hAnsi="Arial"/>
          <w:sz w:val="22"/>
          <w:szCs w:val="22"/>
        </w:rPr>
        <w:t xml:space="preserve">Application Software names not yet classified or under review:</w:t>
      </w:r>
    </w:p>
    <w:p>
      <w:pPr>
        <w:spacing w:after="120"/>
      </w:pPr>
      <w:r>
        <w:rPr>
          <w:rFonts w:ascii="Courier New" w:cs="Courier New" w:eastAsia="Courier New" w:hAnsi="Courier New"/>
          <w:sz w:val="20"/>
          <w:szCs w:val="20"/>
        </w:rPr>
        <w:t xml:space="preserve">MATCH (c:Company)-[:IN_SUB_INDUSTRY]-&gt;(ss:SubSector {name: "Application Software"}) MATCH (c)-[:IN_COUNTRY]-&gt;(:Country {name: "UNITED STATES"}) WHERE c.marketCap &gt; 5000000000 AND NOT EXISTS { MATCH (c)-[:EXPOSED_TO]-&gt;(:Theme) } AND NOT EXISTS { MATCH (c)-[:UNDER_REVIEW]-&gt;(:Theme) } RETURN c.ticker, c.shortName, round(c.marketCap/1000000000, 1) AS bn ORDER BY c.marketCap DESC</w:t>
      </w:r>
    </w:p>
    <w:p>
      <w:pPr>
        <w:pStyle w:val="Heading1"/>
        <w:spacing w:after="200" w:before="360"/>
      </w:pPr>
      <w:r>
        <w:rPr>
          <w:rFonts w:ascii="Arial" w:cs="Arial" w:eastAsia="Arial" w:hAnsi="Arial"/>
          <w:b/>
          <w:bCs/>
          <w:sz w:val="32"/>
          <w:szCs w:val="32"/>
        </w:rPr>
        <w:t xml:space="preserve">Appendix B — Constraints and Indexes</w:t>
      </w:r>
    </w:p>
    <w:p>
      <w:pPr>
        <w:pStyle w:val="Heading2"/>
        <w:spacing w:after="160" w:before="300"/>
      </w:pPr>
      <w:r>
        <w:rPr>
          <w:rFonts w:ascii="Arial" w:cs="Arial" w:eastAsia="Arial" w:hAnsi="Arial"/>
          <w:b/>
          <w:bCs/>
          <w:sz w:val="28"/>
          <w:szCs w:val="28"/>
        </w:rPr>
        <w:t xml:space="preserve">B.1 Uniqueness constraints</w:t>
      </w:r>
    </w:p>
    <w:p>
      <w:pPr>
        <w:pStyle w:val="ListParagraph"/>
        <w:numPr>
          <w:ilvl w:val="0"/>
          <w:numId w:val="2"/>
        </w:numPr>
        <w:spacing w:after="60"/>
      </w:pPr>
      <w:r>
        <w:rPr>
          <w:rFonts w:ascii="Arial" w:cs="Arial" w:eastAsia="Arial" w:hAnsi="Arial"/>
          <w:sz w:val="22"/>
          <w:szCs w:val="22"/>
        </w:rPr>
        <w:t xml:space="preserve">Company.ticker</w:t>
      </w:r>
    </w:p>
    <w:p>
      <w:pPr>
        <w:pStyle w:val="ListParagraph"/>
        <w:numPr>
          <w:ilvl w:val="0"/>
          <w:numId w:val="2"/>
        </w:numPr>
        <w:spacing w:after="60"/>
      </w:pPr>
      <w:r>
        <w:rPr>
          <w:rFonts w:ascii="Arial" w:cs="Arial" w:eastAsia="Arial" w:hAnsi="Arial"/>
          <w:sz w:val="22"/>
          <w:szCs w:val="22"/>
        </w:rPr>
        <w:t xml:space="preserve">Sector.name</w:t>
      </w:r>
    </w:p>
    <w:p>
      <w:pPr>
        <w:pStyle w:val="ListParagraph"/>
        <w:numPr>
          <w:ilvl w:val="0"/>
          <w:numId w:val="2"/>
        </w:numPr>
        <w:spacing w:after="60"/>
      </w:pPr>
      <w:r>
        <w:rPr>
          <w:rFonts w:ascii="Arial" w:cs="Arial" w:eastAsia="Arial" w:hAnsi="Arial"/>
          <w:sz w:val="22"/>
          <w:szCs w:val="22"/>
        </w:rPr>
        <w:t xml:space="preserve">SubSector.name</w:t>
      </w:r>
    </w:p>
    <w:p>
      <w:pPr>
        <w:pStyle w:val="ListParagraph"/>
        <w:numPr>
          <w:ilvl w:val="0"/>
          <w:numId w:val="2"/>
        </w:numPr>
        <w:spacing w:after="60"/>
      </w:pPr>
      <w:r>
        <w:rPr>
          <w:rFonts w:ascii="Arial" w:cs="Arial" w:eastAsia="Arial" w:hAnsi="Arial"/>
          <w:sz w:val="22"/>
          <w:szCs w:val="22"/>
        </w:rPr>
        <w:t xml:space="preserve">Country.name</w:t>
      </w:r>
    </w:p>
    <w:p>
      <w:pPr>
        <w:pStyle w:val="ListParagraph"/>
        <w:numPr>
          <w:ilvl w:val="0"/>
          <w:numId w:val="2"/>
        </w:numPr>
        <w:spacing w:after="60"/>
      </w:pPr>
      <w:r>
        <w:rPr>
          <w:rFonts w:ascii="Arial" w:cs="Arial" w:eastAsia="Arial" w:hAnsi="Arial"/>
          <w:sz w:val="22"/>
          <w:szCs w:val="22"/>
        </w:rPr>
        <w:t xml:space="preserve">Theme.name</w:t>
      </w:r>
    </w:p>
    <w:p>
      <w:pPr>
        <w:pStyle w:val="ListParagraph"/>
        <w:numPr>
          <w:ilvl w:val="0"/>
          <w:numId w:val="2"/>
        </w:numPr>
        <w:spacing w:after="60"/>
      </w:pPr>
      <w:r>
        <w:rPr>
          <w:rFonts w:ascii="Arial" w:cs="Arial" w:eastAsia="Arial" w:hAnsi="Arial"/>
          <w:sz w:val="22"/>
          <w:szCs w:val="22"/>
        </w:rPr>
        <w:t xml:space="preserve">Topic.name (pending — must be added manually in AuraDB Workspace; MCP write tool does not support DDL)</w:t>
      </w:r>
    </w:p>
    <w:p>
      <w:pPr>
        <w:pStyle w:val="ListParagraph"/>
        <w:numPr>
          <w:ilvl w:val="0"/>
          <w:numId w:val="2"/>
        </w:numPr>
        <w:spacing w:after="60"/>
      </w:pPr>
      <w:r>
        <w:rPr>
          <w:rFonts w:ascii="Arial" w:cs="Arial" w:eastAsia="Arial" w:hAnsi="Arial"/>
          <w:sz w:val="22"/>
          <w:szCs w:val="22"/>
        </w:rPr>
        <w:t xml:space="preserve">Security.ticker (legacy)</w:t>
      </w:r>
    </w:p>
    <w:p>
      <w:pPr>
        <w:pStyle w:val="Heading2"/>
        <w:spacing w:after="160" w:before="300"/>
      </w:pPr>
      <w:r>
        <w:rPr>
          <w:rFonts w:ascii="Arial" w:cs="Arial" w:eastAsia="Arial" w:hAnsi="Arial"/>
          <w:b/>
          <w:bCs/>
          <w:sz w:val="28"/>
          <w:szCs w:val="28"/>
        </w:rPr>
        <w:t xml:space="preserve">B.2 Additional indexes</w:t>
      </w:r>
    </w:p>
    <w:p>
      <w:pPr>
        <w:pStyle w:val="ListParagraph"/>
        <w:numPr>
          <w:ilvl w:val="0"/>
          <w:numId w:val="2"/>
        </w:numPr>
        <w:spacing w:after="60"/>
      </w:pPr>
      <w:r>
        <w:rPr>
          <w:rFonts w:ascii="Arial" w:cs="Arial" w:eastAsia="Arial" w:hAnsi="Arial"/>
          <w:sz w:val="22"/>
          <w:szCs w:val="22"/>
        </w:rPr>
        <w:t xml:space="preserve">Company.marketCap (range index for fast top-N queries)</w:t>
      </w:r>
    </w:p>
    <w:p>
      <w:pPr>
        <w:pStyle w:val="Heading2"/>
        <w:spacing w:after="160" w:before="300"/>
      </w:pPr>
      <w:r>
        <w:rPr>
          <w:rFonts w:ascii="Arial" w:cs="Arial" w:eastAsia="Arial" w:hAnsi="Arial"/>
          <w:b/>
          <w:bCs/>
          <w:sz w:val="28"/>
          <w:szCs w:val="28"/>
        </w:rPr>
        <w:t xml:space="preserve">B.3 Theme node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Property</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4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 property, 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 macro / 2 sub-theme / 3 sub-sub-theme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 sentence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Active / Paused / Closed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conviction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 Medium-High / Medium / 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time_horizon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 3–5, 5+, or 10+ years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conviction_source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User-authored, User-confirmed, Claude-inferred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created_in_session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the theme node was created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watchlist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 text for pending/private companies not yet in universe</w:t>
            </w:r>
          </w:p>
        </w:tc>
      </w:tr>
    </w:tbl>
    <w:p>
      <w:pPr>
        <w:pStyle w:val="Heading2"/>
        <w:spacing w:after="160" w:before="300"/>
      </w:pPr>
      <w:r>
        <w:rPr>
          <w:rFonts w:ascii="Arial" w:cs="Arial" w:eastAsia="Arial" w:hAnsi="Arial"/>
          <w:b/>
          <w:bCs/>
          <w:sz w:val="28"/>
          <w:szCs w:val="28"/>
        </w:rPr>
        <w:t xml:space="preserve">B.4 Company node properties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Property</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4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 property, Bloomberg 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shortName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marketCap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USD; indexed for top-N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Set explicitly for pre-IPO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listing_status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"Pre-IPO" for filed-but-not-priced; absent for normal listings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migration_status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 text for orphans and edge cases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created_in_session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 (optional)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Claude-proposed nodes were created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"Claude-proposed" for audit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Originating document for non-CSV records</w:t>
            </w:r>
          </w:p>
        </w:tc>
      </w:tr>
    </w:tbl>
    <w:p>
      <w:pPr>
        <w:pStyle w:val="Heading2"/>
        <w:spacing w:after="160" w:before="300"/>
      </w:pPr>
      <w:r>
        <w:rPr>
          <w:rFonts w:ascii="Arial" w:cs="Arial" w:eastAsia="Arial" w:hAnsi="Arial"/>
          <w:b/>
          <w:bCs/>
          <w:sz w:val="28"/>
          <w:szCs w:val="28"/>
        </w:rPr>
        <w:t xml:space="preserve">B.5 Topic node and TAGGED_AS edge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Property</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4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Topic.name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 property, conventionally uppercase (e.g., QUANTUM)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Topic.description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Free-text definition of the editorial grouping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Topic.created_in_session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the topic node was created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TAGGED_AS.tagged_on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the theme was tagged to the topic</w:t>
            </w:r>
          </w:p>
        </w:tc>
      </w:tr>
    </w:tbl>
    <w:p>
      <w:pPr>
        <w:pStyle w:val="Heading2"/>
        <w:spacing w:after="160" w:before="300"/>
      </w:pPr>
      <w:r>
        <w:rPr>
          <w:rFonts w:ascii="Arial" w:cs="Arial" w:eastAsia="Arial" w:hAnsi="Arial"/>
          <w:b/>
          <w:bCs/>
          <w:sz w:val="28"/>
          <w:szCs w:val="28"/>
        </w:rPr>
        <w:t xml:space="preserve">B.6 RELATES_TO edge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Property</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4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kind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Type of relationship (e.g., "inverse", "overlapping-but-distinct")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Free-text explanation of the relationship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created_in_session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the relationship was created</w:t>
            </w:r>
          </w:p>
        </w:tc>
      </w:tr>
    </w:tbl>
    <w:p>
      <w:pPr>
        <w:pStyle w:val="Heading1"/>
        <w:spacing w:after="200" w:before="360"/>
      </w:pPr>
      <w:r>
        <w:rPr>
          <w:rFonts w:ascii="Arial" w:cs="Arial" w:eastAsia="Arial" w:hAnsi="Arial"/>
          <w:b/>
          <w:bCs/>
          <w:sz w:val="32"/>
          <w:szCs w:val="32"/>
        </w:rPr>
        <w:t xml:space="preserve">Appendix C — Discipline Principles &amp; Anti-Patterns</w:t>
      </w:r>
    </w:p>
    <w:p>
      <w:pPr>
        <w:pStyle w:val="Heading2"/>
        <w:spacing w:after="160" w:before="300"/>
      </w:pPr>
      <w:r>
        <w:rPr>
          <w:rFonts w:ascii="Arial" w:cs="Arial" w:eastAsia="Arial" w:hAnsi="Arial"/>
          <w:b/>
          <w:bCs/>
          <w:sz w:val="28"/>
          <w:szCs w:val="28"/>
        </w:rPr>
        <w:t xml:space="preserve">C.1 Eight core disciplines</w:t>
      </w:r>
    </w:p>
    <w:p>
      <w:pPr>
        <w:pStyle w:val="ListParagraph"/>
        <w:numPr>
          <w:ilvl w:val="0"/>
          <w:numId w:val="2"/>
        </w:numPr>
        <w:spacing w:after="60"/>
      </w:pPr>
      <w:r>
        <w:rPr>
          <w:rFonts w:ascii="Arial" w:cs="Arial" w:eastAsia="Arial" w:hAnsi="Arial"/>
          <w:sz w:val="22"/>
          <w:szCs w:val="22"/>
        </w:rPr>
        <w:t xml:space="preserve">The graph is a confidence-filtered view, not a complete census — absence of an edge is meaningful</w:t>
      </w:r>
    </w:p>
    <w:p>
      <w:pPr>
        <w:pStyle w:val="ListParagraph"/>
        <w:numPr>
          <w:ilvl w:val="0"/>
          <w:numId w:val="2"/>
        </w:numPr>
        <w:spacing w:after="60"/>
      </w:pPr>
      <w:r>
        <w:rPr>
          <w:rFonts w:ascii="Arial" w:cs="Arial" w:eastAsia="Arial" w:hAnsi="Arial"/>
          <w:sz w:val="22"/>
          <w:szCs w:val="22"/>
        </w:rPr>
        <w:t xml:space="preserve">Every EXPOSED_TO edge is high-information — no placeholder edges</w:t>
      </w:r>
    </w:p>
    <w:p>
      <w:pPr>
        <w:pStyle w:val="ListParagraph"/>
        <w:numPr>
          <w:ilvl w:val="0"/>
          <w:numId w:val="2"/>
        </w:numPr>
        <w:spacing w:after="60"/>
      </w:pPr>
      <w:r>
        <w:rPr>
          <w:rFonts w:ascii="Arial" w:cs="Arial" w:eastAsia="Arial" w:hAnsi="Arial"/>
          <w:sz w:val="22"/>
          <w:szCs w:val="22"/>
        </w:rPr>
        <w:t xml:space="preserve">Claude-inferred values are flagged via conviction_source on themes and reviewed=false on edges</w:t>
      </w:r>
    </w:p>
    <w:p>
      <w:pPr>
        <w:pStyle w:val="ListParagraph"/>
        <w:numPr>
          <w:ilvl w:val="0"/>
          <w:numId w:val="2"/>
        </w:numPr>
        <w:spacing w:after="60"/>
      </w:pPr>
      <w:r>
        <w:rPr>
          <w:rFonts w:ascii="Arial" w:cs="Arial" w:eastAsia="Arial" w:hAnsi="Arial"/>
          <w:sz w:val="22"/>
          <w:szCs w:val="22"/>
        </w:rPr>
        <w:t xml:space="preserve">One canonical listing per company (no forking on dual-listings)</w:t>
      </w:r>
    </w:p>
    <w:p>
      <w:pPr>
        <w:pStyle w:val="ListParagraph"/>
        <w:numPr>
          <w:ilvl w:val="0"/>
          <w:numId w:val="2"/>
        </w:numPr>
        <w:spacing w:after="60"/>
      </w:pPr>
      <w:r>
        <w:rPr>
          <w:rFonts w:ascii="Arial" w:cs="Arial" w:eastAsia="Arial" w:hAnsi="Arial"/>
          <w:sz w:val="22"/>
          <w:szCs w:val="22"/>
        </w:rPr>
        <w:t xml:space="preserve">Mechanism is required for meaningful edges — without it, the edge is a hunch, not a thesis</w:t>
      </w:r>
    </w:p>
    <w:p>
      <w:pPr>
        <w:pStyle w:val="ListParagraph"/>
        <w:numPr>
          <w:ilvl w:val="0"/>
          <w:numId w:val="2"/>
        </w:numPr>
        <w:spacing w:after="60"/>
      </w:pPr>
      <w:r>
        <w:rPr>
          <w:rFonts w:ascii="Arial" w:cs="Arial" w:eastAsia="Arial" w:hAnsi="Arial"/>
          <w:sz w:val="22"/>
          <w:szCs w:val="22"/>
        </w:rPr>
        <w:t xml:space="preserve">UNDER_REVIEW is only set by deliberate user action — never inferred</w:t>
      </w:r>
    </w:p>
    <w:p>
      <w:pPr>
        <w:pStyle w:val="ListParagraph"/>
        <w:numPr>
          <w:ilvl w:val="0"/>
          <w:numId w:val="2"/>
        </w:numPr>
        <w:spacing w:after="60"/>
      </w:pPr>
      <w:r>
        <w:rPr>
          <w:rFonts w:ascii="Arial" w:cs="Arial" w:eastAsia="Arial" w:hAnsi="Arial"/>
          <w:sz w:val="22"/>
          <w:szCs w:val="22"/>
        </w:rPr>
        <w:t xml:space="preserve">Pre-IPO companies are explicitly flagged via listing_status and have no synthetic GICS classifications until they appear in a refreshed universe CSV</w:t>
      </w:r>
    </w:p>
    <w:p>
      <w:pPr>
        <w:pStyle w:val="ListParagraph"/>
        <w:numPr>
          <w:ilvl w:val="0"/>
          <w:numId w:val="2"/>
        </w:numPr>
        <w:spacing w:after="60"/>
      </w:pPr>
      <w:r>
        <w:rPr>
          <w:rFonts w:ascii="Arial" w:cs="Arial" w:eastAsia="Arial" w:hAnsi="Arial"/>
          <w:sz w:val="22"/>
          <w:szCs w:val="22"/>
        </w:rPr>
        <w:t xml:space="preserve">Tag only L1 parent themes with TAGGED_AS; rely on CHILD_OF traversal to reach descendants</w:t>
      </w:r>
    </w:p>
    <w:p>
      <w:pPr>
        <w:pStyle w:val="Heading2"/>
        <w:spacing w:after="160" w:before="300"/>
      </w:pPr>
      <w:r>
        <w:rPr>
          <w:rFonts w:ascii="Arial" w:cs="Arial" w:eastAsia="Arial" w:hAnsi="Arial"/>
          <w:b/>
          <w:bCs/>
          <w:sz w:val="28"/>
          <w:szCs w:val="28"/>
        </w:rPr>
        <w:t xml:space="preserve">C.2 Anti-patterns to avoid</w:t>
      </w:r>
    </w:p>
    <w:p>
      <w:pPr>
        <w:pStyle w:val="ListParagraph"/>
        <w:numPr>
          <w:ilvl w:val="0"/>
          <w:numId w:val="2"/>
        </w:numPr>
        <w:spacing w:after="60"/>
      </w:pPr>
      <w:r>
        <w:rPr>
          <w:rFonts w:ascii="Arial" w:cs="Arial" w:eastAsia="Arial" w:hAnsi="Arial"/>
          <w:sz w:val="22"/>
          <w:szCs w:val="22"/>
        </w:rPr>
        <w:t xml:space="preserve">Creating a "Mixed" direction edge for two-sided exposure — use UNDER_REVIEW or two separate theme edges</w:t>
      </w:r>
    </w:p>
    <w:p>
      <w:pPr>
        <w:pStyle w:val="ListParagraph"/>
        <w:numPr>
          <w:ilvl w:val="0"/>
          <w:numId w:val="2"/>
        </w:numPr>
        <w:spacing w:after="60"/>
      </w:pPr>
      <w:r>
        <w:rPr>
          <w:rFonts w:ascii="Arial" w:cs="Arial" w:eastAsia="Arial" w:hAnsi="Arial"/>
          <w:sz w:val="22"/>
          <w:szCs w:val="22"/>
        </w:rPr>
        <w:t xml:space="preserve">Adding theme exposure based on sector classification alone — sectors are already captured via IN_SECTOR; theme exposure is a separate analytical layer</w:t>
      </w:r>
    </w:p>
    <w:p>
      <w:pPr>
        <w:pStyle w:val="ListParagraph"/>
        <w:numPr>
          <w:ilvl w:val="0"/>
          <w:numId w:val="2"/>
        </w:numPr>
        <w:spacing w:after="60"/>
      </w:pPr>
      <w:r>
        <w:rPr>
          <w:rFonts w:ascii="Arial" w:cs="Arial" w:eastAsia="Arial" w:hAnsi="Arial"/>
          <w:sz w:val="22"/>
          <w:szCs w:val="22"/>
        </w:rPr>
        <w:t xml:space="preserve">Modifying property names without dropping/recreating constraints first</w:t>
      </w:r>
    </w:p>
    <w:p>
      <w:pPr>
        <w:pStyle w:val="ListParagraph"/>
        <w:numPr>
          <w:ilvl w:val="0"/>
          <w:numId w:val="2"/>
        </w:numPr>
        <w:spacing w:after="60"/>
      </w:pPr>
      <w:r>
        <w:rPr>
          <w:rFonts w:ascii="Arial" w:cs="Arial" w:eastAsia="Arial" w:hAnsi="Arial"/>
          <w:sz w:val="22"/>
          <w:szCs w:val="22"/>
        </w:rPr>
        <w:t xml:space="preserve">Treating confidence and conviction as synonyms — they live on different objects and answer different questions</w:t>
      </w:r>
    </w:p>
    <w:p>
      <w:pPr>
        <w:pStyle w:val="ListParagraph"/>
        <w:numPr>
          <w:ilvl w:val="0"/>
          <w:numId w:val="2"/>
        </w:numPr>
        <w:spacing w:after="60"/>
      </w:pPr>
      <w:r>
        <w:rPr>
          <w:rFonts w:ascii="Arial" w:cs="Arial" w:eastAsia="Arial" w:hAnsi="Arial"/>
          <w:sz w:val="22"/>
          <w:szCs w:val="22"/>
        </w:rPr>
        <w:t xml:space="preserve">Letting AI-inferred values become data without an audit-trail flag</w:t>
      </w:r>
    </w:p>
    <w:p>
      <w:pPr>
        <w:pStyle w:val="ListParagraph"/>
        <w:numPr>
          <w:ilvl w:val="0"/>
          <w:numId w:val="2"/>
        </w:numPr>
        <w:spacing w:after="60"/>
      </w:pPr>
      <w:r>
        <w:rPr>
          <w:rFonts w:ascii="Arial" w:cs="Arial" w:eastAsia="Arial" w:hAnsi="Arial"/>
          <w:sz w:val="22"/>
          <w:szCs w:val="22"/>
        </w:rPr>
        <w:t xml:space="preserve">Creating Company nodes for pre-IPO names without listing_status flagging — invents fake tickers and breaks universe discipline</w:t>
      </w:r>
    </w:p>
    <w:p>
      <w:pPr>
        <w:pStyle w:val="ListParagraph"/>
        <w:numPr>
          <w:ilvl w:val="0"/>
          <w:numId w:val="2"/>
        </w:numPr>
        <w:spacing w:after="60"/>
      </w:pPr>
      <w:r>
        <w:rPr>
          <w:rFonts w:ascii="Arial" w:cs="Arial" w:eastAsia="Arial" w:hAnsi="Arial"/>
          <w:sz w:val="22"/>
          <w:szCs w:val="22"/>
        </w:rPr>
        <w:t xml:space="preserve">Adding IN_SECTOR / IN_SUB_INDUSTRY / IN_COUNTRY edges for pre-IPO companies before they appear in the refreshed universe CSV</w:t>
      </w:r>
    </w:p>
    <w:p>
      <w:pPr>
        <w:pStyle w:val="ListParagraph"/>
        <w:numPr>
          <w:ilvl w:val="0"/>
          <w:numId w:val="2"/>
        </w:numPr>
        <w:spacing w:after="60"/>
      </w:pPr>
      <w:r>
        <w:rPr>
          <w:rFonts w:ascii="Arial" w:cs="Arial" w:eastAsia="Arial" w:hAnsi="Arial"/>
          <w:sz w:val="22"/>
          <w:szCs w:val="22"/>
        </w:rPr>
        <w:t xml:space="preserve">Tagging every theme in a topic with TAGGED_AS — redundant with CHILD_OF; tag L1 parents only</w:t>
      </w:r>
    </w:p>
    <w:p>
      <w:pPr>
        <w:pStyle w:val="ListParagraph"/>
        <w:numPr>
          <w:ilvl w:val="0"/>
          <w:numId w:val="2"/>
        </w:numPr>
        <w:spacing w:after="60"/>
      </w:pPr>
      <w:r>
        <w:rPr>
          <w:rFonts w:ascii="Arial" w:cs="Arial" w:eastAsia="Arial" w:hAnsi="Arial"/>
          <w:sz w:val="22"/>
          <w:szCs w:val="22"/>
        </w:rPr>
        <w:t xml:space="preserve">Using CHILD_OF where TAGGED_AS is the right fit — forces a hierarchical relationship between economically independent theses</w:t>
      </w:r>
    </w:p>
    <w:p>
      <w:pPr>
        <w:pStyle w:val="Heading2"/>
        <w:spacing w:after="160" w:before="300"/>
      </w:pPr>
      <w:r>
        <w:rPr>
          <w:rFonts w:ascii="Arial" w:cs="Arial" w:eastAsia="Arial" w:hAnsi="Arial"/>
          <w:b/>
          <w:bCs/>
          <w:sz w:val="28"/>
          <w:szCs w:val="28"/>
        </w:rPr>
        <w:t xml:space="preserve">C.3 Open questions / future considerations</w:t>
      </w:r>
    </w:p>
    <w:p>
      <w:pPr>
        <w:pStyle w:val="ListParagraph"/>
        <w:numPr>
          <w:ilvl w:val="0"/>
          <w:numId w:val="2"/>
        </w:numPr>
        <w:spacing w:after="60"/>
      </w:pPr>
      <w:r>
        <w:rPr>
          <w:rFonts w:ascii="Arial" w:cs="Arial" w:eastAsia="Arial" w:hAnsi="Arial"/>
          <w:sz w:val="22"/>
          <w:szCs w:val="22"/>
        </w:rPr>
        <w:t xml:space="preserve">Time-versioning: edits currently overwrite silently — if conviction shifts, history is lost. Consider valid_from/valid_to or snapshots</w:t>
      </w:r>
    </w:p>
    <w:p>
      <w:pPr>
        <w:pStyle w:val="ListParagraph"/>
        <w:numPr>
          <w:ilvl w:val="0"/>
          <w:numId w:val="2"/>
        </w:numPr>
        <w:spacing w:after="60"/>
      </w:pPr>
      <w:r>
        <w:rPr>
          <w:rFonts w:ascii="Arial" w:cs="Arial" w:eastAsia="Arial" w:hAnsi="Arial"/>
          <w:sz w:val="22"/>
          <w:szCs w:val="22"/>
        </w:rPr>
        <w:t xml:space="preserve">Effects as nodes: shared mechanisms (e.g., "compliance moat") are currently duplicated as mechanism text on each edge — lifting Effect to its own node would normalize</w:t>
      </w:r>
    </w:p>
    <w:p>
      <w:pPr>
        <w:pStyle w:val="ListParagraph"/>
        <w:numPr>
          <w:ilvl w:val="0"/>
          <w:numId w:val="2"/>
        </w:numPr>
        <w:spacing w:after="60"/>
      </w:pPr>
      <w:r>
        <w:rPr>
          <w:rFonts w:ascii="Arial" w:cs="Arial" w:eastAsia="Arial" w:hAnsi="Arial"/>
          <w:sz w:val="22"/>
          <w:szCs w:val="22"/>
        </w:rPr>
        <w:t xml:space="preserve">Company vs. Listing: Company is really Listing — if multiple listings of one underlying business become important, this needs a split</w:t>
      </w:r>
    </w:p>
    <w:p>
      <w:pPr>
        <w:pStyle w:val="ListParagraph"/>
        <w:numPr>
          <w:ilvl w:val="0"/>
          <w:numId w:val="2"/>
        </w:numPr>
        <w:spacing w:after="60"/>
      </w:pPr>
      <w:r>
        <w:rPr>
          <w:rFonts w:ascii="Arial" w:cs="Arial" w:eastAsia="Arial" w:hAnsi="Arial"/>
          <w:sz w:val="22"/>
          <w:szCs w:val="22"/>
        </w:rPr>
        <w:t xml:space="preserve">Numeric strength scoring: categorical Core/Significant/Peripheral is easier to reason about, numeric (0–100) is easier to sort and portfolio-weight — both can coexist when needed</w:t>
      </w:r>
    </w:p>
    <w:p>
      <w:pPr>
        <w:pStyle w:val="ListParagraph"/>
        <w:numPr>
          <w:ilvl w:val="0"/>
          <w:numId w:val="2"/>
        </w:numPr>
        <w:spacing w:after="60"/>
      </w:pPr>
      <w:r>
        <w:rPr>
          <w:rFonts w:ascii="Arial" w:cs="Arial" w:eastAsia="Arial" w:hAnsi="Arial"/>
          <w:sz w:val="22"/>
          <w:szCs w:val="22"/>
        </w:rPr>
        <w:t xml:space="preserve">Quantum modality competition: current tree groups all pure-plays under one sub-theme; if a clear modality winner emerges, a third hierarchy level by modality may become useful</w:t>
      </w:r>
    </w:p>
    <w:p>
      <w:pPr>
        <w:pStyle w:val="ListParagraph"/>
        <w:numPr>
          <w:ilvl w:val="0"/>
          <w:numId w:val="2"/>
        </w:numPr>
        <w:spacing w:after="60"/>
      </w:pPr>
      <w:r>
        <w:rPr>
          <w:rFonts w:ascii="Arial" w:cs="Arial" w:eastAsia="Arial" w:hAnsi="Arial"/>
          <w:sz w:val="22"/>
          <w:szCs w:val="22"/>
        </w:rPr>
        <w:t xml:space="preserve">PQC pure-plays sub-theme: if SandboxAQ, PQShield, or QuSecure IPO, a third PQC sub-theme will be warranted</w:t>
      </w:r>
    </w:p>
    <w:p>
      <w:pPr>
        <w:pStyle w:val="ListParagraph"/>
        <w:numPr>
          <w:ilvl w:val="0"/>
          <w:numId w:val="2"/>
        </w:numPr>
        <w:spacing w:after="60"/>
      </w:pPr>
      <w:r>
        <w:rPr>
          <w:rFonts w:ascii="Arial" w:cs="Arial" w:eastAsia="Arial" w:hAnsi="Arial"/>
          <w:sz w:val="22"/>
          <w:szCs w:val="22"/>
        </w:rPr>
        <w:t xml:space="preserve">Headwind PQC theme: if a CRQC milestone arrives ahead of schedule, a Quantum Disruption of Encryption headwind theme will need to be built</w:t>
      </w:r>
    </w:p>
    <w:p>
      <w:pPr>
        <w:pStyle w:val="Heading1"/>
        <w:spacing w:after="200" w:before="360"/>
      </w:pPr>
      <w:r>
        <w:rPr>
          <w:rFonts w:ascii="Arial" w:cs="Arial" w:eastAsia="Arial" w:hAnsi="Arial"/>
          <w:b/>
          <w:bCs/>
          <w:sz w:val="32"/>
          <w:szCs w:val="32"/>
        </w:rPr>
        <w:t xml:space="preserve">Appendix D — Orphan &amp; Legacy Records</w:t>
      </w:r>
    </w:p>
    <w:p>
      <w:pPr>
        <w:pStyle w:val="Heading2"/>
        <w:spacing w:after="160" w:before="300"/>
      </w:pPr>
      <w:r>
        <w:rPr>
          <w:rFonts w:ascii="Arial" w:cs="Arial" w:eastAsia="Arial" w:hAnsi="Arial"/>
          <w:b/>
          <w:bCs/>
          <w:sz w:val="28"/>
          <w:szCs w:val="28"/>
        </w:rPr>
        <w:t xml:space="preserve">D.1 Orphan Security nodes (5)</w:t>
      </w:r>
    </w:p>
    <w:p>
      <w:pPr>
        <w:spacing w:after="120"/>
      </w:pPr>
      <w:r>
        <w:rPr>
          <w:rFonts w:ascii="Arial" w:cs="Arial" w:eastAsia="Arial" w:hAnsi="Arial"/>
          <w:sz w:val="22"/>
          <w:szCs w:val="22"/>
        </w:rPr>
        <w:t xml:space="preserve">Companies from the SaaS Durability Framework that did not match the imported 9,917-company universe. Preserved with migration_status = "orphan" for future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800"/>
        <w:gridCol w:w="3060"/>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Ticker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Company</w:t>
            </w:r>
          </w:p>
        </w:tc>
        <w:tc>
          <w:tcPr>
            <w:tcW w:type="dxa" w:w="2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Framework Sector</w:t>
            </w:r>
          </w:p>
        </w:tc>
        <w:tc>
          <w:tcPr>
            <w:tcW w:type="dxa" w:w="3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Likely Reason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ANSS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Ansys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Simulation Software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Acquired/being acquired by Synopsys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Confluent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 Streaming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Should be in universe — recheck source CSV</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CSU.TO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Constellation Software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Vertical Software Roll-up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Toronto ticker format — exists as CSU CN Equity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Fiserv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Payments Infrastructure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Should be in universe — recheck source CSV</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IQV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IQVIA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Healthcare Data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Should be in universe — recheck source CSV</w:t>
            </w:r>
          </w:p>
        </w:tc>
      </w:tr>
    </w:tbl>
    <w:p>
      <w:pPr>
        <w:pStyle w:val="Heading2"/>
        <w:spacing w:after="160" w:before="300"/>
      </w:pPr>
      <w:r>
        <w:rPr>
          <w:rFonts w:ascii="Arial" w:cs="Arial" w:eastAsia="Arial" w:hAnsi="Arial"/>
          <w:b/>
          <w:bCs/>
          <w:sz w:val="28"/>
          <w:szCs w:val="28"/>
        </w:rPr>
        <w:t xml:space="preserve">D.2 Pre-IPO Company nodes (1)</w:t>
      </w:r>
    </w:p>
    <w:p>
      <w:pPr>
        <w:spacing w:after="120"/>
      </w:pPr>
      <w:r>
        <w:rPr>
          <w:rFonts w:ascii="Arial" w:cs="Arial" w:eastAsia="Arial" w:hAnsi="Arial"/>
          <w:sz w:val="22"/>
          <w:szCs w:val="22"/>
        </w:rPr>
        <w:t xml:space="preserve">Companies that have been added in advance of pricing because the thesis is already material. listing_status = "Pre-IPO". No GICS edges until refreshed universe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100"/>
        <w:gridCol w:w="2500"/>
        <w:gridCol w:w="2160"/>
      </w:tblGrid>
      <w:tr>
        <w:trPr>
          <w:tblHeader/>
        </w:trPr>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Ticker</w:t>
            </w:r>
          </w:p>
        </w:tc>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Company</w:t>
            </w:r>
          </w:p>
        </w:tc>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Exchange</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21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Source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QNT US Equity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Quantinuum Inc.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Nasdaq</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Registration filed, not yet effective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Morgan Stanley offering memo, May 2026</w:t>
            </w:r>
          </w:p>
        </w:tc>
      </w:tr>
    </w:tbl>
    <w:p>
      <w:pPr>
        <w:pStyle w:val="Heading2"/>
        <w:spacing w:after="160" w:before="300"/>
      </w:pPr>
      <w:r>
        <w:rPr>
          <w:rFonts w:ascii="Arial" w:cs="Arial" w:eastAsia="Arial" w:hAnsi="Arial"/>
          <w:b/>
          <w:bCs/>
          <w:sz w:val="28"/>
          <w:szCs w:val="28"/>
        </w:rPr>
        <w:t xml:space="preserve">D.3 Migration mapping decisions</w:t>
      </w:r>
    </w:p>
    <w:p>
      <w:pPr>
        <w:spacing w:after="120"/>
      </w:pPr>
      <w:r>
        <w:rPr>
          <w:rFonts w:ascii="Arial" w:cs="Arial" w:eastAsia="Arial" w:hAnsi="Arial"/>
          <w:sz w:val="22"/>
          <w:szCs w:val="22"/>
        </w:rPr>
        <w:t xml:space="preserve">Ticker collisions resolved during Security → Company migration (38 mapped, 5 orphaned):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Old Ticker</w:t>
            </w:r>
          </w:p>
        </w:tc>
        <w:tc>
          <w:tcPr>
            <w:tcW w:type="dxa" w:w="3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Resolved To</w:t>
            </w:r>
          </w:p>
        </w:tc>
        <w:tc>
          <w:tcPr>
            <w:tcW w:type="dxa" w:w="39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0"/>
            </w:pPr>
            <w:r>
              <w:rPr>
                <w:rFonts w:ascii="Arial" w:cs="Arial" w:eastAsia="Arial" w:hAnsi="Arial"/>
                <w:b/>
                <w:bCs/>
                <w:sz w:val="20"/>
                <w:szCs w:val="20"/>
              </w:rPr>
              <w:t xml:space="preserve">Collision Avoided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ADP</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ADP US Equity (Automatic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ADP FP Equity (French listing)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 US Equity (Deere &amp; Co)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 CN Equity (Decisive Dividend)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IOT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IOT US Equity (Samsara)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IOT IM Equity (Seco SpA, Italy)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NET US Equity (Cloudflare)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NET LN Equity (Netcall, UK)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PCOR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PCOR US Equity (Procore)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PCOR PM Equity (Petron, Philippines)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SHOP</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SHOP CN Equity (Shopify, canonical)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SHOP IN Equity (Shoppers Stop)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TTAN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TTAN US Equity (ServiceTitan)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TTAN IN Equity (Titan, India)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2026-05-17T00:44:28.952Z</dcterms:created>
  <dcterms:modified xsi:type="dcterms:W3CDTF">2026-05-17T00:44:28.966Z</dcterms:modified>
</cp:coreProperties>
</file>

<file path=docProps/custom.xml><?xml version="1.0" encoding="utf-8"?>
<Properties xmlns="http://schemas.openxmlformats.org/officeDocument/2006/custom-properties" xmlns:vt="http://schemas.openxmlformats.org/officeDocument/2006/docPropsVTypes"/>
</file>