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4"/>
        </w:pBdr>
        <w:tabs>
          <w:tab w:val="right" w:pos="9360"/>
        </w:tabs>
        <w:spacing w:after="90"/>
      </w:pPr>
      <w:r>
        <w:rPr>
          <w:b/>
          <w:bCs/>
          <w:sz w:val="28"/>
          <w:szCs w:val="28"/>
        </w:rPr>
        <w:t xml:space="preserve">800V HVDC Data Center Power</w:t>
      </w:r>
      <w:r>
        <w:rPr>
          <w:i/>
          <w:iCs/>
          <w:color w:val="555555"/>
          <w:sz w:val="19"/>
          <w:szCs w:val="19"/>
        </w:rPr>
        <w:t xml:space="preserve">	Last updated May 29, 2026</w:t>
      </w:r>
    </w:p>
    <w:p>
      <w:pPr>
        <w:pStyle w:val="Heading2"/>
        <w:spacing w:after="55" w:before="150"/>
      </w:pPr>
      <w:r>
        <w:rPr>
          <w:b/>
          <w:bCs/>
        </w:rPr>
        <w:t xml:space="preserve">Thesis</w:t>
      </w:r>
    </w:p>
    <w:p>
      <w:pPr>
        <w:pStyle w:val="ListParagraph"/>
        <w:numPr>
          <w:ilvl w:val="0"/>
          <w:numId w:val="2"/>
        </w:numPr>
        <w:spacing w:after="54"/>
      </w:pPr>
      <w:r>
        <w:rPr>
          <w:b/>
          <w:bCs/>
        </w:rPr>
        <w:t xml:space="preserve">Rack power has broken the 54V status quo. </w:t>
      </w:r>
      <w:r>
        <w:t xml:space="preserve">AI racks distribute power at 54V DC today and hit physical limits as they pass roughly 200kW — bulky copper busbars can no longer shuttle that current efficiently. NVIDIA’s roadmap takes racks to 1MW and beyond, which low-voltage distribution cannot carry without prohibitive copper mass and conversion loss. 800V high-voltage DC is the architectural response, and the constraint is now power, not compute.</w:t>
      </w:r>
    </w:p>
    <w:p>
      <w:pPr>
        <w:pStyle w:val="ListParagraph"/>
        <w:numPr>
          <w:ilvl w:val="0"/>
          <w:numId w:val="2"/>
        </w:numPr>
        <w:spacing w:after="54"/>
      </w:pPr>
      <w:r>
        <w:rPr>
          <w:b/>
          <w:bCs/>
        </w:rPr>
        <w:t xml:space="preserve">NVIDIA has effectively set 800V DC as the AI-factory standard. </w:t>
      </w:r>
      <w:r>
        <w:t xml:space="preserve">Its 800 VDC architecture converts 13.8kV AC grid power directly to 800V DC at the data center perimeter using industrial rectifiers, eliminating most intermediate AC/DC and DC/DC conversion stages. Mass production is targeted for 2027 in sync with the Kyber rack system and Rubin Ultra platform. When the dominant GPU vendor publishes the reference design, the supply chain standardizes around it.</w:t>
      </w:r>
    </w:p>
    <w:p>
      <w:pPr>
        <w:pStyle w:val="ListParagraph"/>
        <w:numPr>
          <w:ilvl w:val="0"/>
          <w:numId w:val="2"/>
        </w:numPr>
        <w:spacing w:after="54"/>
      </w:pPr>
      <w:r>
        <w:rPr>
          <w:b/>
          <w:bCs/>
        </w:rPr>
        <w:t xml:space="preserve">The transition pulls a multi-year content wave across the power chain. </w:t>
      </w:r>
      <w:r>
        <w:t xml:space="preserve">Each watt to a GPU now passes through more high-voltage conversion stages, and each stage favors wide-bandgap semiconductors — SiC for grid-to-rack and solid-state-transformer duty, GaN for high-frequency final-stage delivery near the die. The result is a demand multiplier on power-semiconductor and power-module content per rack, not a one-time swap.</w:t>
      </w:r>
    </w:p>
    <w:p>
      <w:pPr>
        <w:pStyle w:val="ListParagraph"/>
        <w:numPr>
          <w:ilvl w:val="0"/>
          <w:numId w:val="2"/>
        </w:numPr>
        <w:spacing w:after="54"/>
      </w:pPr>
      <w:r>
        <w:rPr>
          <w:b/>
          <w:bCs/>
        </w:rPr>
        <w:t xml:space="preserve">Incumbents are committing product roadmaps, not just press releases. </w:t>
      </w:r>
      <w:r>
        <w:t xml:space="preserve">Eaton launched an 800V DC reference architecture (Oct 2025); Vertiv announced a full 800V HVDC product line for 2026 to support Rubin Ultra; STMicroelectronics expanded its 800VDC conversion portfolio with 800VDC-to-12V and -to-6V stages at GTC 2026; Navitas unveiled a 10kW 800V-to-50V GaN DC-DC platform at 98.5% peak efficiency (Feb 2026). The commitments are concrete and dated.</w:t>
      </w:r>
    </w:p>
    <w:p>
      <w:pPr>
        <w:pStyle w:val="ListParagraph"/>
        <w:numPr>
          <w:ilvl w:val="0"/>
          <w:numId w:val="2"/>
        </w:numPr>
        <w:spacing w:after="54"/>
      </w:pPr>
      <w:r>
        <w:rPr>
          <w:b/>
          <w:bCs/>
        </w:rPr>
        <w:t xml:space="preserve">Private-market and M&amp;A validation precede clean public repricing. </w:t>
      </w:r>
      <w:r>
        <w:t xml:space="preserve">The independent GaN layer is being absorbed by public incumbents — GaN Systems into Infineon (2023), Transphorm into Renesas (2024) — while venture capital funds data-center-native power startups such as Vertical Semiconductor (MIT spin-out, $11M seed led by Playground Global). Capital recognizes the shift; most public-equity exposure is embedded in diversified names rather than pure-plays.</w:t>
      </w:r>
    </w:p>
    <w:p>
      <w:pPr>
        <w:pStyle w:val="Heading2"/>
        <w:spacing w:after="55" w:before="150"/>
      </w:pPr>
      <w:r>
        <w:rPr>
          <w:b/>
          <w:bCs/>
        </w:rPr>
        <w:t xml:space="preserve">Catalysts to watch</w:t>
      </w:r>
    </w:p>
    <w:p>
      <w:pPr>
        <w:pStyle w:val="ListParagraph"/>
        <w:numPr>
          <w:ilvl w:val="0"/>
          <w:numId w:val="2"/>
        </w:numPr>
        <w:spacing w:after="54"/>
      </w:pPr>
      <w:r>
        <w:rPr>
          <w:b/>
          <w:bCs/>
        </w:rPr>
        <w:t xml:space="preserve">First 1MW-rack production deployment on 800V DC. </w:t>
      </w:r>
      <w:r>
        <w:t xml:space="preserve">Confirmation that Kyber / Rubin Ultra ships at volume on 800V validates both the timeline and the named supplier set. Slippage back toward the OCP transitional path would reshuffle which suppliers capture the content.</w:t>
      </w:r>
    </w:p>
    <w:p>
      <w:pPr>
        <w:pStyle w:val="ListParagraph"/>
        <w:numPr>
          <w:ilvl w:val="0"/>
          <w:numId w:val="2"/>
        </w:numPr>
        <w:spacing w:after="54"/>
      </w:pPr>
      <w:r>
        <w:rPr>
          <w:b/>
          <w:bCs/>
        </w:rPr>
        <w:t xml:space="preserve">Hyperscaler adoption beyond the NVIDIA ecosystem. </w:t>
      </w:r>
      <w:r>
        <w:t xml:space="preserve">Whether AWS, Google, and Meta adopt NVIDIA’s 800V reference (or an equivalent self-developed design) determines whether this is an NVIDIA-ecosystem story or an industry-wide standard. Watch Open Compute Project (OCP) updates for convergence signals.</w:t>
      </w:r>
    </w:p>
    <w:p>
      <w:pPr>
        <w:pStyle w:val="ListParagraph"/>
        <w:numPr>
          <w:ilvl w:val="0"/>
          <w:numId w:val="2"/>
        </w:numPr>
        <w:spacing w:after="54"/>
      </w:pPr>
      <w:r>
        <w:rPr>
          <w:b/>
          <w:bCs/>
        </w:rPr>
        <w:t xml:space="preserve">Power content-per-rack disclosure from the semis. </w:t>
      </w:r>
      <w:r>
        <w:t xml:space="preserve">The first time Infineon, onsemi, STMicroelectronics, TI, or Navitas breaks out AI-data-center power as a reported revenue driver is the repricing inflection — it converts a narrative into attributable bookings.</w:t>
      </w:r>
    </w:p>
    <w:p>
      <w:pPr>
        <w:pStyle w:val="ListParagraph"/>
        <w:numPr>
          <w:ilvl w:val="0"/>
          <w:numId w:val="2"/>
        </w:numPr>
        <w:spacing w:after="54"/>
      </w:pPr>
      <w:r>
        <w:rPr>
          <w:b/>
          <w:bCs/>
        </w:rPr>
        <w:t xml:space="preserve">Pure-play IPO or major M&amp;A. </w:t>
      </w:r>
      <w:r>
        <w:t xml:space="preserve">A Vertical Semiconductor, EPC, or Cambridge GaN event would create the first clean public proxy and justify carving out a pure-play sub-theme. Continued roll-up into incumbents is the base case and is itself a tradeable signal.</w:t>
      </w:r>
    </w:p>
    <w:p>
      <w:pPr>
        <w:pStyle w:val="ListParagraph"/>
        <w:numPr>
          <w:ilvl w:val="0"/>
          <w:numId w:val="2"/>
        </w:numPr>
        <w:spacing w:after="54"/>
      </w:pPr>
      <w:r>
        <w:rPr>
          <w:b/>
          <w:bCs/>
        </w:rPr>
        <w:t xml:space="preserve">Resolution of the 800V vs OCP ±400V standards split. </w:t>
      </w:r>
      <w:r>
        <w:t xml:space="preserve">The market is currently split between OCP’s ±400V transitional approach and NVIDIA’s 800V standard. Convergence (or durable fragmentation) changes the addressable content for each supplier and the strength of every edge in this theme.</w:t>
      </w:r>
    </w:p>
    <w:p>
      <w:pPr>
        <w:pStyle w:val="Heading2"/>
        <w:spacing w:after="55" w:before="150"/>
      </w:pPr>
      <w:r>
        <w:rPr>
          <w:b/>
          <w:bCs/>
        </w:rPr>
        <w:t xml:space="preserve">Market Dynamic, Direction, Time Horizon, and Conviction</w:t>
      </w:r>
    </w:p>
    <w:p>
      <w:pPr>
        <w:spacing w:after="80"/>
      </w:pPr>
      <w:r>
        <w:t xml:space="preserve">Emerging but rapidly consensus-forming — and, unlike PQC, public-equity flows have already begun repricing the most visible names (Vertiv in particular). This is a </w:t>
      </w:r>
      <w:r>
        <w:rPr>
          <w:b/>
          <w:bCs/>
        </w:rPr>
        <w:t xml:space="preserve">tailwind</w:t>
      </w:r>
      <w:r>
        <w:t xml:space="preserve"> for the power-semiconductor and data-center-power supply chain, expected to play out over a </w:t>
      </w:r>
      <w:r>
        <w:rPr>
          <w:b/>
          <w:bCs/>
        </w:rPr>
        <w:t xml:space="preserve">3–5 year</w:t>
      </w:r>
      <w:r>
        <w:t xml:space="preserve"> horizon (reference designs shipping 2025–2026, mass production 2027, build-out beyond). Theme </w:t>
      </w:r>
      <w:r>
        <w:rPr>
          <w:b/>
          <w:bCs/>
        </w:rPr>
        <w:t xml:space="preserve">conviction is Medium-High</w:t>
      </w:r>
      <w:r>
        <w:t xml:space="preserve"> — the secular driver (AI power demand) is strong and the reference design is set, but timing risk, the unresolved 800V/±400V standard split, and the degree already priced into names like Vertiv all temper it. Conviction is </w:t>
      </w:r>
      <w:r>
        <w:rPr>
          <w:b/>
          <w:bCs/>
          <w:i/>
          <w:iCs/>
        </w:rPr>
        <w:t xml:space="preserve">Claude-inferred</w:t>
      </w:r>
      <w:r>
        <w:t xml:space="preserve"> pending your confirmation.</w:t>
      </w:r>
    </w:p>
    <w:p>
      <w:pPr>
        <w:pStyle w:val="Heading2"/>
        <w:spacing w:after="55" w:before="150"/>
      </w:pPr>
      <w:r>
        <w:rPr>
          <w:b/>
          <w:bCs/>
        </w:rPr>
        <w:t xml:space="preserve">Key leaders to watch (not exhaustive — see Neo4j for full list)</w:t>
      </w:r>
    </w:p>
    <w:p>
      <w:pPr>
        <w:pStyle w:val="ListParagraph"/>
        <w:numPr>
          <w:ilvl w:val="0"/>
          <w:numId w:val="2"/>
        </w:numPr>
        <w:spacing w:after="54"/>
      </w:pPr>
      <w:r>
        <w:rPr>
          <w:b/>
          <w:bCs/>
        </w:rPr>
        <w:t xml:space="preserve">Public incumbents (power semiconductors): </w:t>
      </w:r>
      <w:r>
        <w:t xml:space="preserve">Infineon (IFX GR) and STMicroelectronics (STMPA FP) — broadest grid-to-core SiC/GaN portfolios; Texas Instruments (TXN), onsemi (ON), Analog Devices (ADI), Monolithic Power (MPWR), Renesas (6723 JP), ROHM (6963 JP) across the conversion and control chain; Navitas (NVTS) the closest to a GaN/SiC pure-play, with Power Integrations (POWI) and Wolfspeed (WOLF) on the wide-bandgap edge.</w:t>
      </w:r>
    </w:p>
    <w:p>
      <w:pPr>
        <w:pStyle w:val="ListParagraph"/>
        <w:numPr>
          <w:ilvl w:val="0"/>
          <w:numId w:val="2"/>
        </w:numPr>
        <w:spacing w:after="54"/>
      </w:pPr>
      <w:r>
        <w:rPr>
          <w:b/>
          <w:bCs/>
        </w:rPr>
        <w:t xml:space="preserve">Public integrators (power systems and components): </w:t>
      </w:r>
      <w:r>
        <w:t xml:space="preserve">Vertiv (VRT), Eaton (ETN), Schneider Electric (SU FP), and ABB (ABBN SW) build the rack- and facility-level 800V power systems and solid-state transformers; Flex (FLEX) and Lite-On (2301 TT) supply power-conversion components and modules. These are the picks-and-shovels of the architecture.</w:t>
      </w:r>
    </w:p>
    <w:p>
      <w:pPr>
        <w:pStyle w:val="ListParagraph"/>
        <w:numPr>
          <w:ilvl w:val="0"/>
          <w:numId w:val="2"/>
        </w:numPr>
        <w:spacing w:after="54"/>
      </w:pPr>
      <w:r>
        <w:rPr>
          <w:b/>
          <w:bCs/>
        </w:rPr>
        <w:t xml:space="preserve">Important private companies to monitor: </w:t>
      </w:r>
      <w:r>
        <w:t xml:space="preserve">Vertical Semiconductor (data-center-native vertical GaN) is the most thesis-aligned private name; Efficient Power Conversion (EPC) and Cambridge GaN Devices are the remaining independent GaN players; VisIC Technologies (Israel) holds high-voltage 800V GaN IP but is EV-first; Lead Wealth (China) is the one private name in NVIDIA’s own power-components partner list. Note GaN Systems and Transphorm are already inside Infineon and Renesas respectively.</w:t>
      </w:r>
    </w:p>
    <w:p>
      <w:pPr>
        <w:pStyle w:val="Heading2"/>
        <w:spacing w:after="55" w:before="150"/>
      </w:pPr>
      <w:r>
        <w:rPr>
          <w:b/>
          <w:bCs/>
        </w:rPr>
        <w:t xml:space="preserve">Sub-theme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48"/>
              <w:left w:type="dxa" w:w="110"/>
              <w:bottom w:type="dxa" w:w="48"/>
              <w:right w:type="dxa" w:w="110"/>
            </w:tcMar>
          </w:tcPr>
          <w:p>
            <w:r>
              <w:rPr>
                <w:b/>
                <w:bCs/>
              </w:rPr>
              <w:t xml:space="preserve">Sub-theme</w:t>
            </w:r>
          </w:p>
        </w:tc>
        <w:tc>
          <w:tcPr>
            <w:tcW w:type="dxa" w:w="3680"/>
            <w:tcBorders>
              <w:top w:val="single" w:color="BBBBBB" w:sz="1"/>
              <w:left w:val="single" w:color="BBBBBB" w:sz="1"/>
              <w:bottom w:val="single" w:color="BBBBBB" w:sz="1"/>
              <w:right w:val="single" w:color="BBBBBB" w:sz="1"/>
            </w:tcBorders>
            <w:shd w:fill="D5E8F0" w:val="clear"/>
            <w:tcMar>
              <w:top w:type="dxa" w:w="48"/>
              <w:left w:type="dxa" w:w="110"/>
              <w:bottom w:type="dxa" w:w="48"/>
              <w:right w:type="dxa" w:w="110"/>
            </w:tcMar>
          </w:tcPr>
          <w:p>
            <w:r>
              <w:rPr>
                <w:b/>
                <w:bCs/>
              </w:rPr>
              <w:t xml:space="preserve">Driver</w:t>
            </w:r>
          </w:p>
        </w:tc>
        <w:tc>
          <w:tcPr>
            <w:tcW w:type="dxa" w:w="3080"/>
            <w:tcBorders>
              <w:top w:val="single" w:color="BBBBBB" w:sz="1"/>
              <w:left w:val="single" w:color="BBBBBB" w:sz="1"/>
              <w:bottom w:val="single" w:color="BBBBBB" w:sz="1"/>
              <w:right w:val="single" w:color="BBBBBB" w:sz="1"/>
            </w:tcBorders>
            <w:shd w:fill="D5E8F0" w:val="clear"/>
            <w:tcMar>
              <w:top w:type="dxa" w:w="48"/>
              <w:left w:type="dxa" w:w="110"/>
              <w:bottom w:type="dxa" w:w="48"/>
              <w:right w:type="dxa" w:w="110"/>
            </w:tcMar>
          </w:tcPr>
          <w:p>
            <w:r>
              <w:rPr>
                <w:b/>
                <w:bCs/>
              </w:rPr>
              <w:t xml:space="preserve">Initial public-equity surface</w:t>
            </w:r>
          </w:p>
        </w:tc>
      </w:tr>
      <w:tr>
        <w:tc>
          <w:tcPr>
            <w:tcW w:type="dxa" w:w="260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Power Semiconductors (GaN / SiC)</w:t>
            </w:r>
          </w:p>
        </w:tc>
        <w:tc>
          <w:tcPr>
            <w:tcW w:type="dxa" w:w="36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Wide-bandgap content rises with each high-voltage conversion stage — SiC for grid-to-rack and SST duty, GaN for high-frequency final-stage delivery.</w:t>
            </w:r>
          </w:p>
        </w:tc>
        <w:tc>
          <w:tcPr>
            <w:tcW w:type="dxa" w:w="30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Broad — mostly diversified semis where AI-DC power is additive (IFX, STMPA, TXN, ON, ADI, MPWR, 6723, 6963); NVTS closest to pure-play.</w:t>
            </w:r>
          </w:p>
        </w:tc>
      </w:tr>
      <w:tr>
        <w:tc>
          <w:tcPr>
            <w:tcW w:type="dxa" w:w="260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Power Conversion &amp; Delivery Components</w:t>
            </w:r>
          </w:p>
        </w:tc>
        <w:tc>
          <w:tcPr>
            <w:tcW w:type="dxa" w:w="36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DC-DC bricks, PSUs, busbars and power modules executing the 800V-to-point-of-load chain on the server board and in the rack.</w:t>
            </w:r>
          </w:p>
        </w:tc>
        <w:tc>
          <w:tcPr>
            <w:tcW w:type="dxa" w:w="30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Mixed — Flex (FLEX) and Lite-On (2301 TT) listed; several key module makers (Delta, Megmeet) sit outside the universe or are non-Western.</w:t>
            </w:r>
          </w:p>
        </w:tc>
      </w:tr>
      <w:tr>
        <w:tc>
          <w:tcPr>
            <w:tcW w:type="dxa" w:w="260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Data Center Power Systems &amp; Infrastructure</w:t>
            </w:r>
          </w:p>
        </w:tc>
        <w:tc>
          <w:tcPr>
            <w:tcW w:type="dxa" w:w="36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Facility- and rack-level power systems, solid-state transformers and switchgear converting medium-voltage grid power to 800V DC.</w:t>
            </w:r>
          </w:p>
        </w:tc>
        <w:tc>
          <w:tcPr>
            <w:tcW w:type="dxa" w:w="308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Cleanest — Vertiv (VRT), Eaton (ETN), Schneider (SU FP), ABB (ABBN SW) are direct, large-cap surfaces.</w:t>
            </w:r>
          </w:p>
        </w:tc>
      </w:tr>
    </w:tbl>
    <w:p>
      <w:pPr>
        <w:pStyle w:val="Heading2"/>
        <w:spacing w:after="55" w:before="150"/>
      </w:pPr>
      <w:r>
        <w:rPr>
          <w:b/>
          <w:bCs/>
        </w:rPr>
        <w:t xml:space="preserve">Theme Database Structure Related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Topic</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AI Infrastructure / Data Center Power — no umbrella Topic node exists yet; propose creating one (TAGGED_AS) or leave untagged for now.</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Theme level</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Level 1 (parent), with 3 Level 2 sub-themes — proposed, not yet created.</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Status</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Proposed — not yet in the graph. Pending your confirmation to set Active.</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Conviction</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Medium-High; conviction_source = ‘Claude-inferred’ until confirmed.</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Direction (theme orientation)</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Tailwind. Headwind exposures (e.g. legacy 54V-only power-shelf vendors displaced by the architecture) would be wired as separate Headwind edges, never a Mixed direction.</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Time horizon</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3–5 years.</w:t>
            </w:r>
          </w:p>
        </w:tc>
      </w:tr>
      <w:tr>
        <w:tc>
          <w:tcPr>
            <w:tcW w:type="dxa" w:w="3000"/>
            <w:tcBorders>
              <w:top w:val="single" w:color="BBBBBB" w:sz="1"/>
              <w:left w:val="single" w:color="BBBBBB" w:sz="1"/>
              <w:bottom w:val="single" w:color="BBBBBB" w:sz="1"/>
              <w:right w:val="single" w:color="BBBBBB" w:sz="1"/>
            </w:tcBorders>
            <w:shd w:fill="F0F0F0" w:val="clear"/>
            <w:tcMar>
              <w:top w:type="dxa" w:w="48"/>
              <w:left w:type="dxa" w:w="110"/>
              <w:bottom w:type="dxa" w:w="48"/>
              <w:right w:type="dxa" w:w="110"/>
            </w:tcMar>
          </w:tcPr>
          <w:p>
            <w:r>
              <w:rPr>
                <w:b/>
                <w:bCs/>
              </w:rPr>
              <w:t xml:space="preserve">Relates to</w:t>
            </w:r>
          </w:p>
        </w:tc>
        <w:tc>
          <w:tcPr>
            <w:tcW w:type="dxa" w:w="6360"/>
            <w:tcBorders>
              <w:top w:val="single" w:color="BBBBBB" w:sz="1"/>
              <w:left w:val="single" w:color="BBBBBB" w:sz="1"/>
              <w:bottom w:val="single" w:color="BBBBBB" w:sz="1"/>
              <w:right w:val="single" w:color="BBBBBB" w:sz="1"/>
            </w:tcBorders>
            <w:tcMar>
              <w:top w:type="dxa" w:w="48"/>
              <w:left w:type="dxa" w:w="110"/>
              <w:bottom w:type="dxa" w:w="48"/>
              <w:right w:type="dxa" w:w="110"/>
            </w:tcMar>
          </w:tcPr>
          <w:p>
            <w:r>
              <w:t xml:space="preserve">No material overlap with existing themes. Closest adjacency is the broader AI-infrastructure capex cycle, which is not yet a node in the graph — so no RELATES_TO edge is proposed at this time.</w:t>
            </w:r>
          </w:p>
        </w:tc>
      </w:tr>
    </w:tbl>
    <w:p>
      <w:pPr>
        <w:pStyle w:val="Heading2"/>
        <w:spacing w:after="55" w:before="150"/>
      </w:pPr>
      <w:r>
        <w:rPr>
          <w:b/>
          <w:bCs/>
        </w:rPr>
        <w:t xml:space="preserve">Caveats and discipline notes</w:t>
      </w:r>
    </w:p>
    <w:p>
      <w:pPr>
        <w:pStyle w:val="ListParagraph"/>
        <w:numPr>
          <w:ilvl w:val="0"/>
          <w:numId w:val="2"/>
        </w:numPr>
        <w:spacing w:after="54"/>
      </w:pPr>
      <w:r>
        <w:t xml:space="preserve">This theme is not yet in the graph; this tear sheet is the proposal artifact. Conviction and any edges are Claude-inferred until you confirm — nothing has been written to Neo4j.</w:t>
      </w:r>
    </w:p>
    <w:p>
      <w:pPr>
        <w:pStyle w:val="ListParagraph"/>
        <w:numPr>
          <w:ilvl w:val="0"/>
          <w:numId w:val="2"/>
        </w:numPr>
        <w:spacing w:after="54"/>
      </w:pPr>
      <w:r>
        <w:t xml:space="preserve">Most candidate names are diversified semis where 800V DC is one of several AI-infrastructure drivers; edge strength must reflect revenue attributability, not headline association — NVTS is far more levered to this than ADI or TXN.</w:t>
      </w:r>
    </w:p>
    <w:p>
      <w:pPr>
        <w:pStyle w:val="ListParagraph"/>
        <w:numPr>
          <w:ilvl w:val="0"/>
          <w:numId w:val="2"/>
        </w:numPr>
        <w:spacing w:after="54"/>
      </w:pPr>
      <w:r>
        <w:t xml:space="preserve">Mechanism on every edge must specify the layer (silicon / components / systems) and whether the name sells 800V content versus merely benefits indirectly.</w:t>
      </w:r>
    </w:p>
    <w:p>
      <w:pPr>
        <w:pStyle w:val="ListParagraph"/>
        <w:numPr>
          <w:ilvl w:val="0"/>
          <w:numId w:val="2"/>
        </w:numPr>
        <w:spacing w:after="54"/>
      </w:pPr>
      <w:r>
        <w:t xml:space="preserve">Scope decision: EV 800V powertrains share the same GaN/SiC suppliers. Recommend scoping this theme to data center only to keep the thesis clean — VisIC is the flag where the two worlds blur.</w:t>
      </w:r>
    </w:p>
    <w:p>
      <w:pPr>
        <w:pStyle w:val="ListParagraph"/>
        <w:numPr>
          <w:ilvl w:val="0"/>
          <w:numId w:val="2"/>
        </w:numPr>
        <w:spacing w:after="54"/>
      </w:pPr>
      <w:r>
        <w:t xml:space="preserve">Unlike PQC, Vertiv and several semis have already repriced substantially on the AI-power narrative — strength/confidence on incumbent edges should not assume the market is asleep.</w:t>
      </w:r>
    </w:p>
    <w:p>
      <w:pPr>
        <w:pStyle w:val="ListParagraph"/>
        <w:numPr>
          <w:ilvl w:val="0"/>
          <w:numId w:val="2"/>
        </w:numPr>
        <w:spacing w:after="54"/>
      </w:pPr>
      <w:r>
        <w:t xml:space="preserve">Standard risk is the key downside: OCP ±400V is a live transitional alternative; a durable shift away from 800V would impair edges on names levered specifically to it.</w:t>
      </w:r>
    </w:p>
    <w:sectPr>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pPr>
        <w:spacing w:line="22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50" w:before="11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2026-05-29T18:52:49.475Z</dcterms:created>
  <dcterms:modified xsi:type="dcterms:W3CDTF">2026-05-29T18:52:49.475Z</dcterms:modified>
</cp:coreProperties>
</file>

<file path=docProps/custom.xml><?xml version="1.0" encoding="utf-8"?>
<Properties xmlns="http://schemas.openxmlformats.org/officeDocument/2006/custom-properties" xmlns:vt="http://schemas.openxmlformats.org/officeDocument/2006/docPropsVTypes"/>
</file>