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tabs>
          <w:tab w:val="right" w:pos="9360"/>
        </w:tabs>
        <w:spacing w:after="120"/>
      </w:pPr>
      <w:r>
        <w:rPr>
          <w:b/>
          <w:bCs/>
          <w:sz w:val="32"/>
          <w:szCs w:val="32"/>
        </w:rPr>
        <w:t xml:space="preserve">SaaS Durability in the Age of AI</w:t>
      </w:r>
      <w:r>
        <w:t xml:space="preserve">	</w:t>
      </w:r>
      <w:r>
        <w:rPr>
          <w:i/>
          <w:iCs/>
          <w:sz w:val="20"/>
          <w:szCs w:val="20"/>
        </w:rPr>
        <w:t xml:space="preserve">Last updated May 16, 2026</w:t>
      </w:r>
    </w:p>
    <w:p>
      <w:pPr>
        <w:spacing w:after="120" w:before="240"/>
      </w:pPr>
      <w:r>
        <w:rPr>
          <w:b/>
          <w:bCs/>
          <w:sz w:val="26"/>
          <w:szCs w:val="26"/>
        </w:rPr>
        <w:t xml:space="preserve">Thesis</w:t>
      </w:r>
    </w:p>
    <w:p>
      <w:pPr>
        <w:pStyle w:val="ListParagraph"/>
        <w:numPr>
          <w:ilvl w:val="0"/>
          <w:numId w:val="2"/>
        </w:numPr>
        <w:spacing w:after="80" w:before="80"/>
      </w:pPr>
      <w:r>
        <w:rPr>
          <w:b/>
          <w:bCs/>
        </w:rPr>
        <w:t xml:space="preserve">LLMs make custom software trivial to generate; the moat must live outside the software layer. </w:t>
      </w:r>
      <w:r>
        <w:t xml:space="preserve">Workflow logic, form-based data entry, and being a thin UI over a database are no longer defensible — these are the categories AI agents can synthesize fastest. Durable SaaS franchises are protected by something that is not code: proprietary data, regulatory and compliance entrenchment, two-sided network effects, hardware and calibration loops, or mission-critical blast radius. The framework deliberately ignores valuation and management quality — those are layered on separately. The question this theme answers is which businesses are structurally protected, not which are cheap.</w:t>
      </w:r>
    </w:p>
    <w:p>
      <w:pPr>
        <w:pStyle w:val="ListParagraph"/>
        <w:numPr>
          <w:ilvl w:val="0"/>
          <w:numId w:val="2"/>
        </w:numPr>
        <w:spacing w:after="80" w:before="80"/>
      </w:pPr>
      <w:r>
        <w:rPr>
          <w:b/>
          <w:bCs/>
        </w:rPr>
        <w:t xml:space="preserve">Five moat categories with different decay curves. </w:t>
      </w:r>
      <w:r>
        <w:t xml:space="preserve">(1) Proprietary Data — Bloomberg, SPGI, MSCI, VRSK, FDS, CSGP carry decades of curated datasets that AI cannot regenerate without the underlying observations. (2) Regulated Systems of Record — INTU, ADP, VEEV, WDAY, ORCL where compliance, audit trail, and regulatory relationships create switching costs that have nothing to do with software quality. (3) Two-Sided Networks — SHOP, TOST, TTAN where ecosystem value lives beyond the UI. (4) Physical-World Integration — IOT, PCOR, TRMB, DE, VEEV, TOST, PTC, ROK, SYM where hardware, sensors, and calibration loops can't be replicated by code alone. (5) Mission-Critical Infrastructure — tiered by severity of failure.</w:t>
      </w:r>
    </w:p>
    <w:p>
      <w:pPr>
        <w:pStyle w:val="ListParagraph"/>
        <w:numPr>
          <w:ilvl w:val="0"/>
          <w:numId w:val="2"/>
        </w:numPr>
        <w:spacing w:after="80" w:before="80"/>
      </w:pPr>
      <w:r>
        <w:rPr>
          <w:b/>
          <w:bCs/>
        </w:rPr>
        <w:t xml:space="preserve">Mission-Critical Infrastructure is the largest and deepest bucket — sub-tiered by blast radius. </w:t>
      </w:r>
      <w:r>
        <w:t xml:space="preserve">Existential (CRWD, PANW, FTNT, ZS, NET, V, MA, BR) — failure threatens the existence of customer operations; switching is essentially unthinkable. Operational (DDOG, SNOW, MDB, NOW, CRM) — failure severely disrupts daily operations but is recoverable; switching is costly but possible. Engineering-Critical (SNPS, CDNS, ADSK, BSY) — switching costs measured in years because the tools sit inside multi-year product development cycles. The CIO test applies cleanly here: if the board would ask follow-up questions about risk and continuity before approving a vendor change, the name is durable.</w:t>
      </w:r>
    </w:p>
    <w:p>
      <w:pPr>
        <w:pStyle w:val="ListParagraph"/>
        <w:numPr>
          <w:ilvl w:val="0"/>
          <w:numId w:val="2"/>
        </w:numPr>
        <w:spacing w:after="80" w:before="80"/>
      </w:pPr>
      <w:r>
        <w:rPr>
          <w:b/>
          <w:bCs/>
        </w:rPr>
        <w:t xml:space="preserve">Cybersecurity is the underrated tailwind — AI raises both attack sophistication and attack surface. </w:t>
      </w:r>
      <w:r>
        <w:t xml:space="preserve">CRWD, PANW, FTNT, NET, ZS benefit from a structural shift in cyber: defenders gain because attackers gain. The Cybersecurity Tailwind sub-theme is cross-cutting under SaaS Durability rather than under Mission-Critical because the driver is demand-side, not moat-side — and the same names also carry distinct edges to PQC Migration (deadline-driven) and Existential Infrastructure (blast-radius driven). Same companies, three distinct economic forces.</w:t>
      </w:r>
    </w:p>
    <w:p>
      <w:pPr>
        <w:pStyle w:val="ListParagraph"/>
        <w:numPr>
          <w:ilvl w:val="0"/>
          <w:numId w:val="2"/>
        </w:numPr>
        <w:spacing w:after="80" w:before="80"/>
      </w:pPr>
      <w:r>
        <w:rPr>
          <w:b/>
          <w:bCs/>
        </w:rPr>
        <w:t xml:space="preserve">Contrarian take — the biggest SaaS winners may be incumbents that reposition as the AI agent orchestration layer. </w:t>
      </w:r>
      <w:r>
        <w:t xml:space="preserve">Salesforce's Agentforce and ServiceNow's AI platform are early bets that customers will bring any LLM as the interface while incumbents own the data, permissions, audit trail, and integrations beneath it. This is the AI Orchestration Layer Incumbents thesis as a separate theme, but the names live first under SaaS Durability — CRM and NOW already carry Operational Infrastructure edges here. If the orchestration thesis plays out, these go from Significant to Core strength on the durability framework as well.</w:t>
      </w:r>
    </w:p>
    <w:p>
      <w:pPr>
        <w:spacing w:after="120" w:before="240"/>
      </w:pPr>
      <w:r>
        <w:rPr>
          <w:b/>
          <w:bCs/>
          <w:sz w:val="26"/>
          <w:szCs w:val="26"/>
        </w:rPr>
        <w:t xml:space="preserve">Catalysts to watch</w:t>
      </w:r>
    </w:p>
    <w:p>
      <w:pPr>
        <w:pStyle w:val="ListParagraph"/>
        <w:numPr>
          <w:ilvl w:val="0"/>
          <w:numId w:val="2"/>
        </w:numPr>
        <w:spacing w:after="80" w:before="80"/>
      </w:pPr>
      <w:r>
        <w:rPr>
          <w:b/>
          <w:bCs/>
        </w:rPr>
        <w:t xml:space="preserve">Hyperscaler-led customer migration off a thin-moat horizontal SaaS vendor. </w:t>
      </w:r>
      <w:r>
        <w:t xml:space="preserve">First well-documented case of a Fortune 500 customer canceling Salesforce, HubSpot, or similar in favor of an internal LLM-built equivalent would be the inflection point. Watch for press releases, AWS/Azure customer case studies, and earnings-call commentary on customer churn. Would validate both the durability thesis (winners stay) and the disruption thesis (losers get hit) simultaneously.</w:t>
      </w:r>
    </w:p>
    <w:p>
      <w:pPr>
        <w:pStyle w:val="ListParagraph"/>
        <w:numPr>
          <w:ilvl w:val="0"/>
          <w:numId w:val="2"/>
        </w:numPr>
        <w:spacing w:after="80" w:before="80"/>
      </w:pPr>
      <w:r>
        <w:rPr>
          <w:b/>
          <w:bCs/>
        </w:rPr>
        <w:t xml:space="preserve">AI orchestration layer revenue disclosure from CRM or NOW. </w:t>
      </w:r>
      <w:r>
        <w:t xml:space="preserve">Both have launched Agentforce / AI platform products; neither has broken out attributable revenue. First quarter either reports a material attributable line item is the catalyst that confirms the contrarian take — incumbents win by becoming the orchestration substrate, not by writing better UI. Conversely, repeated guidance disappointment from these products would undermine the contrarian thesis.</w:t>
      </w:r>
    </w:p>
    <w:p>
      <w:pPr>
        <w:pStyle w:val="ListParagraph"/>
        <w:numPr>
          <w:ilvl w:val="0"/>
          <w:numId w:val="2"/>
        </w:numPr>
        <w:spacing w:after="80" w:before="80"/>
      </w:pPr>
      <w:r>
        <w:rPr>
          <w:b/>
          <w:bCs/>
        </w:rPr>
        <w:t xml:space="preserve">Multiple compression in horizontal SaaS opens a relative-value gap. </w:t>
      </w:r>
      <w:r>
        <w:t xml:space="preserve">If the AI Disruption headwind theme plays out as expected, HUBS, ASAN, PD, FRSH and similar should de-rate relative to the durable names. Wider multiple gap creates the conditions for premium durable names (SPGI, V, MA, MSCI, INTU) to look expensive vs. peers — which is the point. The framework predicts the dispersion.</w:t>
      </w:r>
    </w:p>
    <w:p>
      <w:pPr>
        <w:pStyle w:val="ListParagraph"/>
        <w:numPr>
          <w:ilvl w:val="0"/>
          <w:numId w:val="2"/>
        </w:numPr>
        <w:spacing w:after="80" w:before="80"/>
      </w:pPr>
      <w:r>
        <w:rPr>
          <w:b/>
          <w:bCs/>
        </w:rPr>
        <w:t xml:space="preserve">Major SaaS M&amp;A by a Mission-Critical or Proprietary Data incumbent. </w:t>
      </w:r>
      <w:r>
        <w:t xml:space="preserve">Roper (ROP) is the canonical compounder buying niche mission-critical software at scale; SPGI's IHS Markit deal demonstrated the Proprietary Data play. The next $5B+ deal where a durable incumbent acquires a vertical software company at a premium is a signal the moat-by-acquisition strategy is accelerating, not slowing.</w:t>
      </w:r>
    </w:p>
    <w:p>
      <w:pPr>
        <w:pStyle w:val="ListParagraph"/>
        <w:numPr>
          <w:ilvl w:val="0"/>
          <w:numId w:val="2"/>
        </w:numPr>
        <w:spacing w:after="80" w:before="80"/>
      </w:pPr>
      <w:r>
        <w:rPr>
          <w:b/>
          <w:bCs/>
        </w:rPr>
        <w:t xml:space="preserve">Cyber breach attributed to AI-generated attack tooling. </w:t>
      </w:r>
      <w:r>
        <w:t xml:space="preserve">First major breach explicitly tied to LLM-assisted attack development (phishing-at-scale, novel exploit generation, social engineering automation) accelerates the Cybersecurity Tailwind sub-theme materially. Drives security spending up and creates board-level demand for defender names across the existential tier.</w:t>
      </w:r>
    </w:p>
    <w:p>
      <w:pPr>
        <w:pStyle w:val="ListParagraph"/>
        <w:numPr>
          <w:ilvl w:val="0"/>
          <w:numId w:val="2"/>
        </w:numPr>
        <w:spacing w:after="80" w:before="80"/>
      </w:pPr>
      <w:r>
        <w:rPr>
          <w:b/>
          <w:bCs/>
        </w:rPr>
        <w:t xml:space="preserve">Engineering-Critical incumbents (SNPS, CDNS, ADSK, BSY) ship credible AI copilots without revenue cannibalization. </w:t>
      </w:r>
      <w:r>
        <w:t xml:space="preserve">These businesses have the deepest moats but also the most to lose if a price-disrupting AI workflow emerges in chip design or CAD. Quiet integration of AI features inside existing seat-based pricing — without seeing seat reductions — validates the engineering-critical thesis and could re-rate the cohort higher.</w:t>
      </w:r>
    </w:p>
    <w:p>
      <w:pPr>
        <w:spacing w:after="120" w:before="240"/>
      </w:pPr>
      <w:r>
        <w:rPr>
          <w:b/>
          <w:bCs/>
          <w:sz w:val="26"/>
          <w:szCs w:val="26"/>
        </w:rPr>
        <w:t xml:space="preserve">Market Dynamic, Direction, Time Horizon, and Conviction</w:t>
      </w:r>
    </w:p>
    <w:p>
      <w:pPr>
        <w:spacing w:after="120" w:before="80"/>
      </w:pPr>
      <w:r>
        <w:t xml:space="preserve">A recognized but actively debated theme. The dynamic is a structural </w:t>
      </w:r>
      <w:r>
        <w:rPr>
          <w:b/>
          <w:bCs/>
        </w:rPr>
        <w:t xml:space="preserve">tailwind</w:t>
      </w:r>
      <w:r>
        <w:t xml:space="preserve"> for the durable cohort and a structural headwind for thin-moat horizontal SaaS — the two sides of the same AI hyperscaler force, captured here and in the inverse RELATES_TO link to AI Disruption of Horizontal SaaS. The dispersion plays out over </w:t>
      </w:r>
      <w:r>
        <w:rPr>
          <w:b/>
          <w:bCs/>
        </w:rPr>
        <w:t xml:space="preserve">3–5 years</w:t>
      </w:r>
      <w:r>
        <w:t xml:space="preserve"> as customer behavior catches up with the technology — most enterprise software contracts are 3+ years, so AI substitution shows up at renewal cycles, not on announcement. Theme </w:t>
      </w:r>
      <w:r>
        <w:rPr>
          <w:b/>
          <w:bCs/>
        </w:rPr>
        <w:t xml:space="preserve">conviction is High</w:t>
      </w:r>
      <w:r>
        <w:t xml:space="preserve"> — the underlying technology shift is verified, the moat categories are well-defined, and the failure modes for non-durable SaaS are increasingly visible in customer behavior. The honest caveat is that many durable names already trade at premium multiples that price in some of the moat; the framework identifies what's structurally protected, not what's cheap.</w:t>
      </w:r>
    </w:p>
    <w:p>
      <w:pPr>
        <w:spacing w:after="120" w:before="240"/>
      </w:pPr>
      <w:r>
        <w:rPr>
          <w:b/>
          <w:bCs/>
          <w:sz w:val="26"/>
          <w:szCs w:val="26"/>
        </w:rPr>
        <w:t xml:space="preserve">Key leaders to watch (not exhaustive — see Neo4j for full list)</w:t>
      </w:r>
    </w:p>
    <w:p>
      <w:pPr>
        <w:pStyle w:val="ListParagraph"/>
        <w:numPr>
          <w:ilvl w:val="0"/>
          <w:numId w:val="2"/>
        </w:numPr>
        <w:spacing w:after="60" w:before="60"/>
      </w:pPr>
      <w:r>
        <w:rPr>
          <w:b/>
          <w:bCs/>
        </w:rPr>
        <w:t xml:space="preserve">Proprietary Data: </w:t>
      </w:r>
      <w:r>
        <w:t xml:space="preserve">S&amp;P Global (SPGI), MSCI, Verisk (VRSK), FactSet (FDS), CoStar (CSGP), IQVIA (IQV — Claude-proposed pending next universe CSV refresh). All carry High edge confidence; the data moat is the most tested category.</w:t>
      </w:r>
    </w:p>
    <w:p>
      <w:pPr>
        <w:pStyle w:val="ListParagraph"/>
        <w:numPr>
          <w:ilvl w:val="0"/>
          <w:numId w:val="2"/>
        </w:numPr>
        <w:spacing w:after="60" w:before="60"/>
      </w:pPr>
      <w:r>
        <w:rPr>
          <w:b/>
          <w:bCs/>
        </w:rPr>
        <w:t xml:space="preserve">Regulated Systems of Record: </w:t>
      </w:r>
      <w:r>
        <w:t xml:space="preserve">Intuit (INTU), ADP, Veeva (VEEV), Workday (WDAY), Oracle (ORCL). Veeva spans this bucket and Physical-World Software because clinical trial workflows are both compliance- and physical-lab-integrated.</w:t>
      </w:r>
    </w:p>
    <w:p>
      <w:pPr>
        <w:pStyle w:val="ListParagraph"/>
        <w:numPr>
          <w:ilvl w:val="0"/>
          <w:numId w:val="2"/>
        </w:numPr>
        <w:spacing w:after="60" w:before="60"/>
      </w:pPr>
      <w:r>
        <w:rPr>
          <w:b/>
          <w:bCs/>
        </w:rPr>
        <w:t xml:space="preserve">Two-Sided Networks: </w:t>
      </w:r>
      <w:r>
        <w:t xml:space="preserve">Shopify (SHOP CN Equity, canonical listing), Toast (TOST), ServiceTitan (TTAN). All three also carry Physical-World exposure because their network value is reinforced by hardware (POS terminals, vertical-specific devices).</w:t>
      </w:r>
    </w:p>
    <w:p>
      <w:pPr>
        <w:pStyle w:val="ListParagraph"/>
        <w:numPr>
          <w:ilvl w:val="0"/>
          <w:numId w:val="2"/>
        </w:numPr>
        <w:spacing w:after="60" w:before="60"/>
      </w:pPr>
      <w:r>
        <w:rPr>
          <w:b/>
          <w:bCs/>
        </w:rPr>
        <w:t xml:space="preserve">Physical-World Software: </w:t>
      </w:r>
      <w:r>
        <w:t xml:space="preserve">Samsara (IOT), Procore (PCOR), Trimble (TRMB), PTC, Rockwell (ROK), Symbotic (SYM) at Core strength. Deere (DE), Toast (TOST), Veeva (VEEV) at Significant — each has a partial physical-world tie that adds defensibility to a primary moat in another bucket.</w:t>
      </w:r>
    </w:p>
    <w:p>
      <w:pPr>
        <w:pStyle w:val="ListParagraph"/>
        <w:numPr>
          <w:ilvl w:val="0"/>
          <w:numId w:val="2"/>
        </w:numPr>
        <w:spacing w:after="60" w:before="60"/>
      </w:pPr>
      <w:r>
        <w:rPr>
          <w:b/>
          <w:bCs/>
        </w:rPr>
        <w:t xml:space="preserve">Mission-Critical — Existential tier: </w:t>
      </w:r>
      <w:r>
        <w:t xml:space="preserve">CrowdStrike (CRWD), Palo Alto (PANW), Fortinet (FTNT), Zscaler (ZS), Cloudflare (NET), Visa (V), Mastercard (MA), Broadridge (BR), Fiserv (FISV — migrated from framework alias 'FI'). FIS and Epic/Oracle Health belong here conceptually but are not yet wired into the graph.</w:t>
      </w:r>
    </w:p>
    <w:p>
      <w:pPr>
        <w:pStyle w:val="ListParagraph"/>
        <w:numPr>
          <w:ilvl w:val="0"/>
          <w:numId w:val="2"/>
        </w:numPr>
        <w:spacing w:after="60" w:before="60"/>
      </w:pPr>
      <w:r>
        <w:rPr>
          <w:b/>
          <w:bCs/>
        </w:rPr>
        <w:t xml:space="preserve">Mission-Critical — Operational tier: </w:t>
      </w:r>
      <w:r>
        <w:t xml:space="preserve">Datadog (DDOG), Snowflake (SNOW), MongoDB (MDB), ServiceNow (NOW) at Core; Confluent (CFLT — Claude-proposed pending next universe CSV refresh) and Salesforce (CRM) at Significant.</w:t>
      </w:r>
    </w:p>
    <w:p>
      <w:pPr>
        <w:pStyle w:val="ListParagraph"/>
        <w:numPr>
          <w:ilvl w:val="0"/>
          <w:numId w:val="2"/>
        </w:numPr>
        <w:spacing w:after="60" w:before="60"/>
      </w:pPr>
      <w:r>
        <w:rPr>
          <w:b/>
          <w:bCs/>
        </w:rPr>
        <w:t xml:space="preserve">Mission-Critical — Engineering-Critical tier: </w:t>
      </w:r>
      <w:r>
        <w:t xml:space="preserve">Synopsys (SNPS), Cadence (CDNS), Autodesk (ADSK), Bentley (BSY). Ansys (ANSS) is preserved as a Delisted-Acquired Company node (absorbed by SNPS July 17, 2025); its framework exposure is retained for audit trail and live exposure now travels through SNPS.</w:t>
      </w:r>
    </w:p>
    <w:p>
      <w:pPr>
        <w:pStyle w:val="ListParagraph"/>
        <w:numPr>
          <w:ilvl w:val="0"/>
          <w:numId w:val="2"/>
        </w:numPr>
        <w:spacing w:after="60" w:before="60"/>
      </w:pPr>
      <w:r>
        <w:rPr>
          <w:b/>
          <w:bCs/>
        </w:rPr>
        <w:t xml:space="preserve">Cybersecurity Tailwind (cross-cutting): </w:t>
      </w:r>
      <w:r>
        <w:t xml:space="preserve">CRWD, PANW, FTNT, NET, ZS — same names that appear in the Existential tier, but linked via a separate edge because the economic driver is demand-side (AI on both sides of cyber), not blast-radius. Each carries three distinct edges across the SaaS Durability tree, intentionally additive.</w:t>
      </w:r>
    </w:p>
    <w:p>
      <w:pPr>
        <w:pStyle w:val="ListParagraph"/>
        <w:numPr>
          <w:ilvl w:val="0"/>
          <w:numId w:val="2"/>
        </w:numPr>
        <w:spacing w:after="60" w:before="60"/>
      </w:pPr>
      <w:r>
        <w:rPr>
          <w:b/>
          <w:bCs/>
        </w:rPr>
        <w:t xml:space="preserve">Capital allocator angle (outside the L1 tree): </w:t>
      </w:r>
      <w:r>
        <w:t xml:space="preserve">Roper (ROP) carries a Significant edge to SaaS Durability directly for its disciplined M&amp;A of niche mission-critical vertical software. Constellation Software (CSU CN Equity, migrated from framework alias 'CSU.TO') also carries a Significant edge to SaaS Durability — its standalone Capital Allocator Compounders theme was retired as redundant; the underlying companies still sit under the parent thesis.</w:t>
      </w:r>
    </w:p>
    <w:p>
      <w:pPr>
        <w:spacing w:after="120" w:before="240"/>
      </w:pPr>
      <w:r>
        <w:rPr>
          <w:b/>
          <w:bCs/>
          <w:sz w:val="26"/>
          <w:szCs w:val="26"/>
        </w:rPr>
        <w:t xml:space="preserve">Sub-theme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Sub-theme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Driver</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Public-equity surface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Proprietary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Decades of curated, hard-to-replicate data create moats AI cannot regenerate without the underlying observations.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Concentrated and high-quality — SPGI, MSCI, VRSK, FDS, CSGP. Premium multiples but defensible.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Regulated Systems of Record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audit trail, and regulatory relationships create switching costs independent of software quality.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Large-cap, slow-moving — INTU, ADP, VEEV, WDAY, ORCL. Boring is the point; switching is structurally hard.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Two-Sided Networks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Ecosystem value lives beyond the UI — network effects between buyers and sellers, or merchants and consumers.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Narrow but high-quality — SHOP, TOST, TTAN. All three reinforced by physical-world integration.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Physical-World Software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Hardware, sensors, and calibration loops cannot be replicated by code alone — the protection is materials and devices, not algorithms.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Broadest mid-cap surface — IOT, PCOR, TRMB, PTC, ROK, SYM at Core; DE, TOST, VEEV at Significant.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Mission-Critical Infrastructure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blast radius of failure protects incumbents — customers will not switch vendors for systems they cannot afford to have fail.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Deepest bucket, sub-tiered three ways — Existential (cyber/payments/clearing), Operational (data/observability/workflow), Engineering-Critical (EDA/CAD).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Cybersecurity Tailwind (cross-cutting)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raises both attack sophistication and attack surface, driving structural demand for cyber defenders. Demand-side force, distinct from blast-radius moat.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CRWD, PANW, FTNT, NET, ZS — same names appear in Existential Infrastructure tier via a separate edge. Linked to PQC Migration via RELATES_TO at the parent level.</w:t>
            </w:r>
          </w:p>
        </w:tc>
      </w:tr>
    </w:tbl>
    <w:p>
      <w:pPr>
        <w:spacing w:after="120" w:before="240"/>
      </w:pPr>
      <w:r>
        <w:rPr>
          <w:b/>
          <w:bCs/>
          <w:sz w:val="26"/>
          <w:szCs w:val="26"/>
        </w:rPr>
        <w:t xml:space="preserve">Theme Database Structure Related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Topic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(no Topic tag; SaaS Durability is a standalone editorial cluster)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Theme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1 (parent), with 6 Level 2 sub-themes and 3 Level 3 sub-themes nested under Mission-Critical Infrastructure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Conviction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(Physical-World Software is Medium-High; all other sub-themes are High)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Time horizon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years for the parent thesis (AI substitution shows up at renewal cycles); 5+ years for most sub-themes; 10+ years for Engineering-Critical Infrastructure due to product-development-cycle switching costs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Companies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 direct EXPOSED_TO edges at the L1 parent (35 Core + 8 Significant) after orphan migration; same names re-edged at sub-theme level via additive (not duplicative) edges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Related themes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Inverse RELATES_TO link to AI Disruption of Horizontal SaaS — two sides of the same AI hyperscaler force. Cybersecurity Tailwind sub-theme carries a separate RELATES_TO link to PQC Migration (overlapping-but-distinct).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Lifecycle conventions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5 legacy Security orphans (ANSS, CFLT, FI, IQV, CSU.TO) migrated May 17, 2026. Conventions established: framework_alias on the Company node preserves the original framework ticker; migrated_from on the edge preserves migration provenance; listing_status = 'Delisted-Acquired' with acquired_by and delisting_date fields applies to ANSS (acquired by SNPS, closed July 17, 2025). Two ticker-format remaps (FI → FISV US Equity; CSU.TO → CSU CN Equity) reused existing canonical Company nodes. Two universe-gap names (CFLT, IQV) created as Claude-proposed Company nodes pending next universe CSV refresh — no GICS edges yet.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Why separate from AI Disruption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Mirror-image themes that must stay distinct: SaaS Durability is which companies are protected; AI Disruption is which are vulnerable. The lists do not overlap by design (the durable cohort is excluded from the disruption cohort), and direction differs — Tailwind here, Headwind there. Inverse RELATES_TO documents the relationship without merging the two.</w:t>
            </w:r>
          </w:p>
        </w:tc>
      </w:tr>
    </w:tbl>
    <w:p>
      <w:pPr>
        <w:spacing w:after="120" w:before="240"/>
      </w:pPr>
      <w:r>
        <w:rPr>
          <w:b/>
          <w:bCs/>
          <w:sz w:val="26"/>
          <w:szCs w:val="26"/>
        </w:rPr>
        <w:t xml:space="preserve">Caveats and discipline notes</w:t>
      </w:r>
    </w:p>
    <w:p>
      <w:pPr>
        <w:pStyle w:val="ListParagraph"/>
        <w:numPr>
          <w:ilvl w:val="0"/>
          <w:numId w:val="2"/>
        </w:numPr>
        <w:spacing w:after="60" w:before="60"/>
      </w:pPr>
      <w:r>
        <w:t xml:space="preserve">Framework, not investment advice. This identifies what's structurally protected from AI substitution, not what's attractively valued. Many of the durable names trade at premium multiples that already price in some of the moat; valuation discipline, growth rates, and management quality still need to be layered on top of the durability framework before sizing positions.</w:t>
      </w:r>
    </w:p>
    <w:p>
      <w:pPr>
        <w:pStyle w:val="ListParagraph"/>
        <w:numPr>
          <w:ilvl w:val="0"/>
          <w:numId w:val="2"/>
        </w:numPr>
        <w:spacing w:after="60" w:before="60"/>
      </w:pPr>
      <w:r>
        <w:t xml:space="preserve">Same names appear in multiple sub-themes — intentionally additive, not duplicative. VEEV carries edges to Regulated Systems of Record, Physical-World Software, and the L1 parent through three distinct mechanisms. CRWD, PANW, FTNT, NET, ZS carry edges to Cybersecurity Tailwind, Existential Infrastructure, the L1 parent, and (separately) PQC Migration. Multi-theme exposure inflates apparent overlap in slicing queries; keep this in mind when running cross-theme analytics.</w:t>
      </w:r>
    </w:p>
    <w:p>
      <w:pPr>
        <w:pStyle w:val="ListParagraph"/>
        <w:numPr>
          <w:ilvl w:val="0"/>
          <w:numId w:val="2"/>
        </w:numPr>
        <w:spacing w:after="60" w:before="60"/>
      </w:pPr>
      <w:r>
        <w:t xml:space="preserve">The framework is theme-driven, not sector-driven. IN_SECTOR / IN_SUB_INDUSTRY edges still classify these companies by GICS, but theme exposure is a separate analytical layer. Don't infer durability from sector; the question is moat type, not sector.</w:t>
      </w:r>
    </w:p>
    <w:p>
      <w:pPr>
        <w:pStyle w:val="ListParagraph"/>
        <w:numPr>
          <w:ilvl w:val="0"/>
          <w:numId w:val="2"/>
        </w:numPr>
        <w:spacing w:after="60" w:before="60"/>
      </w:pPr>
      <w:r>
        <w:t xml:space="preserve">Mechanism is required on every edge. The graph currently has Mechanism populated at the L1 parent but missing on several L2 child edges. These are pending a backfill pass; an edge without a mechanism is a hunch, not a thesis.</w:t>
      </w:r>
    </w:p>
    <w:p>
      <w:pPr>
        <w:pStyle w:val="ListParagraph"/>
        <w:numPr>
          <w:ilvl w:val="0"/>
          <w:numId w:val="2"/>
        </w:numPr>
        <w:spacing w:after="60" w:before="60"/>
      </w:pPr>
      <w:r>
        <w:t xml:space="preserve">Audit-trail convention for migrated and acquired names: framework_alias on the Company node preserves original framework references (FI, CSU.TO); migrated_from on the edge preserves provenance for any edge moved between nodes. ANSS is preserved as a Company node with listing_status = 'Delisted-Acquired' rather than collapsed into SNPS — the framework exposure is retained for audit trail while live exposure travels through the acquirer. This pattern should be the default for future M&amp;A in the durable cohort.</w:t>
      </w:r>
    </w:p>
    <w:p>
      <w:pPr>
        <w:pStyle w:val="ListParagraph"/>
        <w:numPr>
          <w:ilvl w:val="0"/>
          <w:numId w:val="2"/>
        </w:numPr>
        <w:spacing w:after="60" w:before="60"/>
      </w:pPr>
      <w:r>
        <w:t xml:space="preserve">The AI Orchestration Layer Incumbents thesis lives as a separate L1 theme, not as a sub-theme here, even though CRM and NOW carry SaaS Durability edges. If the orchestration thesis is validated by revenue disclosure (see Catalysts), revisit whether to promote orchestration to a Level 2 child of SaaS Durability or keep it standalone. Current convention: standalone, because the driver is offensive (incumbent reposition) rather than defensive (moat-protected).</w:t>
      </w:r>
    </w:p>
    <w:p>
      <w:pPr>
        <w:pStyle w:val="ListParagraph"/>
        <w:numPr>
          <w:ilvl w:val="0"/>
          <w:numId w:val="2"/>
        </w:numPr>
        <w:spacing w:after="60" w:before="60"/>
      </w:pPr>
      <w:r>
        <w:t xml:space="preserve">Engineering-Critical names (SNPS, CDNS, ADSK, BSY) are the deepest moat in the framework but also the highest risk if AI changes the workflow primitive. A successful AI-native EDA or CAD startup would not displace incumbents quickly, but would reset terminal-value expectations. Watch for early signals of seat reductions on AI feature ship.</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2"/>
      <w:szCs w:val="32"/>
    </w:rPr>
  </w:style>
  <w:style w:type="paragraph" w:styleId="Heading2">
    <w:name w:val="Heading 2"/>
    <w:basedOn w:val="Normal"/>
    <w:next w:val="Normal"/>
    <w:qFormat/>
    <w:pPr>
      <w:spacing w:after="100" w:before="2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2026-05-17T01:05:47.117Z</dcterms:created>
  <dcterms:modified xsi:type="dcterms:W3CDTF">2026-05-17T01:05:47.129Z</dcterms:modified>
</cp:coreProperties>
</file>

<file path=docProps/custom.xml><?xml version="1.0" encoding="utf-8"?>
<Properties xmlns="http://schemas.openxmlformats.org/officeDocument/2006/custom-properties" xmlns:vt="http://schemas.openxmlformats.org/officeDocument/2006/docPropsVTypes"/>
</file>