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Coarse</w:t>
      </w:r>
      <w:r>
        <w:t xml:space="preserve"> </w:t>
      </w:r>
      <w:r>
        <w:t xml:space="preserve">additions</w:t>
      </w:r>
      <w:r>
        <w:t xml:space="preserve"> </w:t>
      </w:r>
      <w:r>
        <w:t xml:space="preserve">affect</w:t>
      </w:r>
      <w:r>
        <w:t xml:space="preserve"> </w:t>
      </w:r>
      <w:r>
        <w:t xml:space="preserve">plasticity</w:t>
      </w:r>
      <w:r>
        <w:t xml:space="preserve"> </w:t>
      </w:r>
      <w:r>
        <w:t xml:space="preserve">and</w:t>
      </w:r>
      <w:r>
        <w:t xml:space="preserve"> </w:t>
      </w:r>
      <w:r>
        <w:t xml:space="preserve">toughness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mixtures,</w:t>
      </w:r>
      <w:r>
        <w:t xml:space="preserve"> </w:t>
      </w:r>
      <w:r>
        <w:t xml:space="preserve">Part</w:t>
      </w:r>
      <w:r>
        <w:t xml:space="preserve"> </w:t>
      </w:r>
      <w:r>
        <w:t xml:space="preserve">I:</w:t>
      </w:r>
      <w:r>
        <w:t xml:space="preserve"> </w:t>
      </w:r>
      <w:r>
        <w:t xml:space="preserve">Particle</w:t>
      </w:r>
      <w:r>
        <w:t xml:space="preserve"> </w:t>
      </w:r>
      <w:r>
        <w:t xml:space="preserve">size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Fri.</w:t>
      </w:r>
      <w:r>
        <w:t xml:space="preserve"> </w:t>
      </w:r>
      <w:r>
        <w:t xml:space="preserve">2022-08-12,</w:t>
      </w:r>
      <w:r>
        <w:t xml:space="preserve"> </w:t>
      </w:r>
      <w:r>
        <w:t xml:space="preserve">12:49</w:t>
      </w:r>
      <w:r>
        <w:t xml:space="preserve"> </w:t>
      </w:r>
      <w:r>
        <w:t xml:space="preserve">PM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Sand-clay mixtures are commonly produced for use on baseball infield skin surfaces.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Atterberg plasticity tests may be a useful way to characterize infield soils because the tests directly measure a soil’s response to changing water content.</w:t>
      </w:r>
    </w:p>
    <w:p>
      <w:pPr>
        <w:pStyle w:val="BodyText"/>
      </w:pPr>
      <w:r>
        <w:t xml:space="preserve">Atterberg limit protocols mandate that sand &gt;425 μm be removed before testing.</w:t>
      </w:r>
      <w:r>
        <w:t xml:space="preserve"> </w:t>
      </w:r>
      <w:r>
        <w:t xml:space="preserve"> </w:t>
      </w:r>
      <w:r>
        <w:t xml:space="preserve">This directive makes it difficult to compare mixes with different sand gradations because variation between two soils’ plasticity may be confounded by removing different amounts of sand.</w:t>
      </w:r>
    </w:p>
    <w:p>
      <w:pPr>
        <w:pStyle w:val="BodyText"/>
      </w:pPr>
      <w:r>
        <w:t xml:space="preserve">Research was conducted to re-appraise the practice of removing</w:t>
      </w:r>
      <w:r>
        <w:t xml:space="preserve"> </w:t>
      </w:r>
      <w:r>
        <w:t xml:space="preserve">‘</w:t>
      </w:r>
      <w:r>
        <w:t xml:space="preserve">oversize</w:t>
      </w:r>
      <w:r>
        <w:t xml:space="preserve">’</w:t>
      </w:r>
      <w:r>
        <w:t xml:space="preserve"> </w:t>
      </w:r>
      <w:r>
        <w:t xml:space="preserve">particles prior to Atterberg limit testing.</w:t>
      </w:r>
    </w:p>
    <w:p>
      <w:pPr>
        <w:pStyle w:val="BodyText"/>
      </w:pPr>
      <w:r>
        <w:t xml:space="preserve">Coarse additions corresponding to five individual mesh sizes of sand (2000-1000, 1000-500, 500-250, 250-150, and 150-53 μm) and silt (&lt;53 μm) were mixed with a kaolinitic clay at 0-80% coarse addition.</w:t>
      </w:r>
      <w:r>
        <w:t xml:space="preserve"> </w:t>
      </w:r>
      <w:r>
        <w:t xml:space="preserve">The liquid limit (LL) and plastic limit (PL) were determined for each mixture.</w:t>
      </w:r>
    </w:p>
    <w:p>
      <w:pPr>
        <w:pStyle w:val="BodyText"/>
      </w:pPr>
      <w:r>
        <w:t xml:space="preserve">At low coarse addition contents, LL and PL decreased proportionally with sand or silt content.</w:t>
      </w:r>
      <w:r>
        <w:t xml:space="preserve"> </w:t>
      </w:r>
      <w:r>
        <w:t xml:space="preserve"> </w:t>
      </w:r>
      <w:r>
        <w:t xml:space="preserve">Mixes containing the largest particles adhered closely to a linear reduction in LL or PL with increasing coarse additions, while finer sands or silt showed elevated LL above 50% and elevated PL above 50%.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This research suggests particles 2000-425 μm should remain in infield mixes before Atterberg limit tests.</w:t>
      </w:r>
      <w:r>
        <w:t xml:space="preserve"> </w:t>
      </w:r>
      <w:r>
        <w:t xml:space="preserve"> </w:t>
      </w:r>
      <w:r>
        <w:t xml:space="preserve">These particles influence LL and PL less than finer additions which remain in the sample.</w:t>
      </w:r>
      <w:r>
        <w:t xml:space="preserve"> </w:t>
      </w:r>
      <w:r>
        <w:t xml:space="preserve"> </w:t>
      </w:r>
      <w:r>
        <w:t xml:space="preserve">These findings may improve the utility of Atterberg limit tests for evaluating baseball infield soils.</w:t>
      </w:r>
      <w:r>
        <w:t xml:space="preserve"> 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Coarse additions affect plasticity and toughness of soil mixtures, Part I: Particle size</dc:title>
  <dc:creator/>
  <cp:keywords/>
  <dcterms:created xsi:type="dcterms:W3CDTF">2022-08-12T16:49:24Z</dcterms:created>
  <dcterms:modified xsi:type="dcterms:W3CDTF">2022-08-12T12:49:27Z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soil-science-society-of-america-journal.csl</vt:lpwstr>
  </property>
  <property fmtid="{D5CDD505-2E9C-101B-9397-08002B2CF9AE}" pid="4" name="date">
    <vt:lpwstr>last compiled Fri. 2022-08-12, 12:49 PM</vt:lpwstr>
  </property>
  <property fmtid="{D5CDD505-2E9C-101B-9397-08002B2CF9AE}" pid="5" name="linestretch">
    <vt:lpwstr>1.5</vt:lpwstr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links-as-notes">
    <vt:lpwstr>False</vt:lpwstr>
  </property>
  <property fmtid="{D5CDD505-2E9C-101B-9397-08002B2CF9AE}" pid="9" name="mainfont">
    <vt:lpwstr>Roboto</vt:lpwstr>
  </property>
  <property fmtid="{D5CDD505-2E9C-101B-9397-08002B2CF9AE}" pid="10" name="mathfont">
    <vt:lpwstr>Fira Math Regular</vt:lpwstr>
  </property>
  <property fmtid="{D5CDD505-2E9C-101B-9397-08002B2CF9AE}" pid="11" name="output">
    <vt:lpwstr/>
  </property>
  <property fmtid="{D5CDD505-2E9C-101B-9397-08002B2CF9AE}" pid="12" name="papersize">
    <vt:lpwstr>letter</vt:lpwstr>
  </property>
  <property fmtid="{D5CDD505-2E9C-101B-9397-08002B2CF9AE}" pid="13" name="toc">
    <vt:lpwstr>False</vt:lpwstr>
  </property>
  <property fmtid="{D5CDD505-2E9C-101B-9397-08002B2CF9AE}" pid="14" name="toccolor">
    <vt:lpwstr>blue</vt:lpwstr>
  </property>
  <property fmtid="{D5CDD505-2E9C-101B-9397-08002B2CF9AE}" pid="15" name="urlcolor">
    <vt:lpwstr>blue</vt:lpwstr>
  </property>
</Properties>
</file>