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Coarse</w:t>
      </w:r>
      <w:r>
        <w:t xml:space="preserve"> </w:t>
      </w:r>
      <w:r>
        <w:t xml:space="preserve">additions</w:t>
      </w:r>
      <w:r>
        <w:t xml:space="preserve"> </w:t>
      </w:r>
      <w:r>
        <w:t xml:space="preserve">affect</w:t>
      </w:r>
      <w:r>
        <w:t xml:space="preserve"> </w:t>
      </w:r>
      <w:r>
        <w:t xml:space="preserve">the</w:t>
      </w:r>
      <w:r>
        <w:t xml:space="preserve"> </w:t>
      </w:r>
      <w:r>
        <w:t xml:space="preserve">plasticity</w:t>
      </w:r>
      <w:r>
        <w:t xml:space="preserve"> </w:t>
      </w:r>
      <w:r>
        <w:t xml:space="preserve">and</w:t>
      </w:r>
      <w:r>
        <w:t xml:space="preserve"> </w:t>
      </w:r>
      <w:r>
        <w:t xml:space="preserve">toughness</w:t>
      </w:r>
      <w:r>
        <w:t xml:space="preserve"> </w:t>
      </w:r>
      <w:r>
        <w:t xml:space="preserve">of</w:t>
      </w:r>
      <w:r>
        <w:t xml:space="preserve"> </w:t>
      </w:r>
      <w:r>
        <w:t xml:space="preserve">soil</w:t>
      </w:r>
      <w:r>
        <w:t xml:space="preserve"> </w:t>
      </w:r>
      <w:r>
        <w:t xml:space="preserve">mixtures,</w:t>
      </w:r>
      <w:r>
        <w:t xml:space="preserve"> </w:t>
      </w:r>
      <w:r>
        <w:t xml:space="preserve">Part</w:t>
      </w:r>
      <w:r>
        <w:t xml:space="preserve"> </w:t>
      </w:r>
      <w:r>
        <w:t xml:space="preserve">II:</w:t>
      </w:r>
      <w:r>
        <w:t xml:space="preserve"> </w:t>
      </w:r>
      <w:r>
        <w:t xml:space="preserve">Sand</w:t>
      </w:r>
      <w:r>
        <w:t xml:space="preserve"> </w:t>
      </w:r>
      <w:r>
        <w:t xml:space="preserve">angularity</w:t>
      </w:r>
      <w:r>
        <w:t xml:space="preserve"> </w:t>
      </w:r>
      <w:r>
        <w:t xml:space="preserve">and</w:t>
      </w:r>
      <w:r>
        <w:t xml:space="preserve"> </w:t>
      </w:r>
      <w:r>
        <w:t xml:space="preserve">sand-size</w:t>
      </w:r>
      <w:r>
        <w:t xml:space="preserve"> </w:t>
      </w:r>
      <w:r>
        <w:t xml:space="preserve">uniformity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Thu.</w:t>
      </w:r>
      <w:r>
        <w:t xml:space="preserve"> </w:t>
      </w:r>
      <w:r>
        <w:t xml:space="preserve">2022-08-11,</w:t>
      </w:r>
      <w:r>
        <w:t xml:space="preserve"> </w:t>
      </w:r>
      <w:r>
        <w:t xml:space="preserve">12:56</w:t>
      </w:r>
      <w:r>
        <w:t xml:space="preserve"> </w:t>
      </w:r>
      <w:r>
        <w:t xml:space="preserve">PM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The Atterberg limits may offer a useful means to evaluate baseball infield soils because they quantitatively relate soil behavior to water content.</w:t>
      </w:r>
      <w:r>
        <w:t xml:space="preserve"> </w:t>
      </w:r>
      <w:r>
        <w:t xml:space="preserve">Prior research has demonstrated that liquid and plastic limits (LL and PL) of sand-clay mixtures are affected by the quantity and type of admixed sand, but these studies have used &lt;425 μm sand exclusively and little attention has been devoted to sand angularity and sand-size uniformity.</w:t>
      </w:r>
    </w:p>
    <w:p>
      <w:pPr>
        <w:pStyle w:val="BodyText"/>
      </w:pPr>
      <w:r>
        <w:t xml:space="preserve">This research was conducted to clarify the effect of sand angularity and sand-size uniformity on the Atterberg limits of soil mixtures containing a range of sand contents and a significant mass percentage 425-2000 μm.</w:t>
      </w:r>
    </w:p>
    <w:p>
      <w:pPr>
        <w:pStyle w:val="BodyText"/>
      </w:pPr>
      <w:r>
        <w:t xml:space="preserve">Experiment 1 compared the effect of mixing either an angular or a round sand (both 0.5-1 mm) with a kaolinitic clay at sand contents between 0 and 80%.</w:t>
      </w:r>
      <w:r>
        <w:t xml:space="preserve"> </w:t>
      </w:r>
      <w:r>
        <w:t xml:space="preserve">Little difference was observed in LL and PL, suggesting angularity plays a minimal role on mix performance.</w:t>
      </w:r>
    </w:p>
    <w:p>
      <w:pPr>
        <w:pStyle w:val="BodyText"/>
      </w:pPr>
      <w:r>
        <w:t xml:space="preserve">Experiment 2 compared the effect of mixing one of two sands having similar D</w:t>
      </w:r>
      <w:r>
        <w:rPr>
          <w:vertAlign w:val="subscript"/>
        </w:rPr>
        <w:t xml:space="preserve">50</w:t>
      </w:r>
      <w:r>
        <w:t xml:space="preserve"> </w:t>
      </w:r>
      <w:r>
        <w:t xml:space="preserve">(0.42 and 0.49 mm) but varying uniformity (uniformity coefficients of 1.9 vs. 3.9) with an illitic clay at sand content 0-80%.</w:t>
      </w:r>
      <w:r>
        <w:t xml:space="preserve"> </w:t>
      </w:r>
      <w:r>
        <w:t xml:space="preserve"> </w:t>
      </w:r>
      <w:r>
        <w:t xml:space="preserve">Mixtures including the high-C</w:t>
      </w:r>
      <w:r>
        <w:rPr>
          <w:vertAlign w:val="subscript"/>
        </w:rPr>
        <w:t xml:space="preserve">u</w:t>
      </w:r>
      <w:r>
        <w:t xml:space="preserve"> </w:t>
      </w:r>
      <w:r>
        <w:t xml:space="preserve">sand maintained their plasticity to higher sand content (~72.5%) than those produced with the low-C</w:t>
      </w:r>
      <w:r>
        <w:rPr>
          <w:vertAlign w:val="subscript"/>
        </w:rPr>
        <w:t xml:space="preserve">u</w:t>
      </w:r>
      <w:r>
        <w:t xml:space="preserve"> </w:t>
      </w:r>
      <w:r>
        <w:t xml:space="preserve">sand (~67.5%).</w:t>
      </w:r>
    </w:p>
    <w:p>
      <w:pPr>
        <w:pStyle w:val="BodyText"/>
      </w:pPr>
      <w:r>
        <w:t xml:space="preserve">Calculations for the threshold fines content and intergranular porosity agreed closely with the experiments, indicating a potential to estimate TFC from sand porosity alone.</w:t>
      </w:r>
    </w:p>
    <w:bookmarkEnd w:id="20"/>
    <w:sectPr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4B0A16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F3C68CF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C12E8A7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2F6472B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BA62E42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6E52D2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6B5E8EE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136BF7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B296BA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AA5E8A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3012725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2C1ED9F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8F5C22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2C1AE401"/>
    <w:multiLevelType w:val="multilevel"/>
    <w:tmpl w:val="136091C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8195837" w:numId="1">
    <w:abstractNumId w:val="13"/>
  </w:num>
  <w:num w16cid:durableId="423916914"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77662917" w:numId="3">
    <w:abstractNumId w:val="10"/>
  </w:num>
  <w:num w16cid:durableId="317611366" w:numId="4">
    <w:abstractNumId w:val="8"/>
  </w:num>
  <w:num w16cid:durableId="468939711" w:numId="5">
    <w:abstractNumId w:val="7"/>
  </w:num>
  <w:num w16cid:durableId="271018588" w:numId="6">
    <w:abstractNumId w:val="6"/>
  </w:num>
  <w:num w16cid:durableId="198861868" w:numId="7">
    <w:abstractNumId w:val="5"/>
  </w:num>
  <w:num w16cid:durableId="596669574" w:numId="8">
    <w:abstractNumId w:val="9"/>
  </w:num>
  <w:num w16cid:durableId="1662780729" w:numId="9">
    <w:abstractNumId w:val="4"/>
  </w:num>
  <w:num w16cid:durableId="1335961434" w:numId="10">
    <w:abstractNumId w:val="3"/>
  </w:num>
  <w:num w16cid:durableId="26873656" w:numId="11">
    <w:abstractNumId w:val="2"/>
  </w:num>
  <w:num w16cid:durableId="1293514416" w:numId="12">
    <w:abstractNumId w:val="1"/>
  </w:num>
  <w:num w16cid:durableId="1376270140" w:numId="13">
    <w:abstractNumId w:val="13"/>
  </w:num>
  <w:num w16cid:durableId="586497910"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25972463" w:numId="15">
    <w:abstractNumId w:val="11"/>
  </w:num>
  <w:num w16cid:durableId="2116095566"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4183C"/>
    <w:rPr>
      <w:rFonts w:ascii="Roboto" w:hAnsi="Roboto"/>
      <w:sz w:val="21"/>
    </w:rPr>
  </w:style>
  <w:style w:styleId="Heading1" w:type="paragraph">
    <w:name w:val="heading 1"/>
    <w:basedOn w:val="Normal"/>
    <w:next w:val="BodyText"/>
    <w:uiPriority w:val="9"/>
    <w:qFormat/>
    <w:rsid w:val="004B0A96"/>
    <w:pPr>
      <w:keepNext/>
      <w:keepLines/>
      <w:spacing w:after="0" w:before="480"/>
      <w:outlineLvl w:val="0"/>
    </w:pPr>
    <w:rPr>
      <w:rFonts w:cstheme="majorBidi" w:eastAsiaTheme="majorEastAsia"/>
      <w:color w:themeColor="accent1" w:themeShade="BF" w:val="365F91"/>
      <w:sz w:val="26"/>
      <w:szCs w:val="26"/>
    </w:rPr>
  </w:style>
  <w:style w:styleId="Heading2" w:type="paragraph">
    <w:name w:val="heading 2"/>
    <w:basedOn w:val="Normal"/>
    <w:next w:val="BodyText"/>
    <w:uiPriority w:val="9"/>
    <w:unhideWhenUsed/>
    <w:qFormat/>
    <w:rsid w:val="000B2D17"/>
    <w:pPr>
      <w:keepNext/>
      <w:keepLines/>
      <w:spacing w:after="0" w:before="200"/>
      <w:outlineLvl w:val="1"/>
    </w:pPr>
    <w:rPr>
      <w:rFonts w:cstheme="majorBidi" w:eastAsiaTheme="majorEastAsia"/>
      <w:color w:themeColor="accent1" w:val="4F81BD"/>
    </w:rPr>
  </w:style>
  <w:style w:styleId="Heading3" w:type="paragraph">
    <w:name w:val="heading 3"/>
    <w:basedOn w:val="Normal"/>
    <w:next w:val="BodyText"/>
    <w:uiPriority w:val="9"/>
    <w:unhideWhenUsed/>
    <w:qFormat/>
    <w:rsid w:val="000B2D1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441E"/>
    <w:pPr>
      <w:spacing w:after="180" w:before="180" w:line="360" w:lineRule="auto"/>
    </w:pPr>
    <w:rPr>
      <w:color w:themeColor="text1" w:themeTint="BF" w:val="404040"/>
      <w:szCs w:val="21"/>
    </w:rPr>
  </w:style>
  <w:style w:customStyle="1" w:styleId="FirstParagraph" w:type="paragraph">
    <w:name w:val="First Paragraph"/>
    <w:basedOn w:val="BodyText"/>
    <w:next w:val="BodyText"/>
    <w:qFormat/>
    <w:rsid w:val="00A81426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81426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A81426"/>
    <w:pPr>
      <w:keepNext/>
      <w:keepLines/>
      <w:jc w:val="center"/>
    </w:pPr>
    <w:rPr>
      <w:rFonts w:ascii="Lucida Console" w:hAnsi="Lucida Console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F0CF0"/>
    <w:rPr>
      <w:szCs w:val="21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15ECC"/>
    <w:rPr>
      <w:color w:themeColor="background1" w:themeShade="80" w:val="808080"/>
      <w:sz w:val="22"/>
      <w:szCs w:val="22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4E7E75"/>
    <w:rPr>
      <w:i w:val="0"/>
      <w:iCs/>
      <w:color w:themeColor="text1" w:themeTint="80" w:val="7F7F7F"/>
      <w:sz w:val="20"/>
      <w:szCs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5D0F81"/>
    <w:rPr>
      <w:color w:val="auto"/>
    </w:rPr>
  </w:style>
  <w:style w:styleId="TOCHeading" w:type="paragraph">
    <w:name w:val="TOC Heading"/>
    <w:basedOn w:val="Heading1"/>
    <w:next w:val="BodyText"/>
    <w:uiPriority w:val="39"/>
    <w:unhideWhenUsed/>
    <w:qFormat/>
    <w:rsid w:val="00180F00"/>
    <w:pPr>
      <w:spacing w:before="240" w:line="259" w:lineRule="auto"/>
      <w:outlineLvl w:val="9"/>
    </w:pPr>
    <w:rPr>
      <w:rFonts w:asciiTheme="majorHAnsi" w:hAnsiTheme="majorHAnsi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unhideWhenUsed/>
    <w:rsid w:val="00180F00"/>
    <w:pPr>
      <w:tabs>
        <w:tab w:leader="dot" w:pos="9350" w:val="right"/>
      </w:tabs>
      <w:spacing w:after="100"/>
    </w:pPr>
    <w:rPr>
      <w:noProof/>
      <w:color w:themeColor="accent1" w:themeShade="BF" w:val="365F91"/>
      <w:sz w:val="22"/>
    </w:rPr>
  </w:style>
  <w:style w:styleId="TOC2" w:type="paragraph">
    <w:name w:val="toc 2"/>
    <w:basedOn w:val="Normal"/>
    <w:next w:val="Normal"/>
    <w:autoRedefine/>
    <w:uiPriority w:val="39"/>
    <w:unhideWhenUsed/>
    <w:rsid w:val="00F55144"/>
    <w:pPr>
      <w:tabs>
        <w:tab w:leader="dot" w:pos="9350" w:val="right"/>
      </w:tabs>
      <w:spacing w:after="100"/>
      <w:ind w:left="240"/>
    </w:pPr>
    <w:rPr>
      <w:noProof/>
      <w:sz w:val="20"/>
    </w:rPr>
  </w:style>
  <w:style w:styleId="TOC3" w:type="paragraph">
    <w:name w:val="toc 3"/>
    <w:basedOn w:val="Normal"/>
    <w:next w:val="Normal"/>
    <w:autoRedefine/>
    <w:uiPriority w:val="39"/>
    <w:unhideWhenUsed/>
    <w:rsid w:val="00F55144"/>
    <w:pPr>
      <w:spacing w:after="100"/>
      <w:ind w:left="480"/>
    </w:pPr>
    <w:rPr>
      <w:sz w:val="19"/>
    </w:rPr>
  </w:style>
  <w:style w:styleId="UnresolvedMention" w:type="character">
    <w:name w:val="Unresolved Mention"/>
    <w:basedOn w:val="DefaultParagraphFont"/>
    <w:uiPriority w:val="99"/>
    <w:semiHidden/>
    <w:unhideWhenUsed/>
    <w:rsid w:val="00A81426"/>
    <w:rPr>
      <w:color w:val="605E5C"/>
      <w:shd w:color="auto" w:fill="E1DFDD" w:val="clear"/>
    </w:rPr>
  </w:style>
  <w:style w:customStyle="1" w:styleId="BodyTextChar" w:type="character">
    <w:name w:val="Body Text Char"/>
    <w:basedOn w:val="DefaultParagraphFont"/>
    <w:link w:val="BodyText"/>
    <w:rsid w:val="009C441E"/>
    <w:rPr>
      <w:rFonts w:ascii="Roboto" w:hAnsi="Roboto"/>
      <w:color w:themeColor="text1" w:themeTint="BF" w:val="404040"/>
      <w:sz w:val="21"/>
      <w:szCs w:val="21"/>
    </w:rPr>
  </w:style>
  <w:style w:styleId="SmartHyperlink" w:type="character">
    <w:name w:val="Smart Hyperlink"/>
    <w:basedOn w:val="DefaultParagraphFont"/>
    <w:uiPriority w:val="99"/>
    <w:semiHidden/>
    <w:unhideWhenUsed/>
    <w:rsid w:val="00F55144"/>
    <w:rPr>
      <w:rFonts w:ascii="Roboto" w:hAnsi="Roboto"/>
      <w:u w:val="dotted"/>
    </w:rPr>
  </w:style>
  <w:style w:styleId="LineNumber" w:type="character">
    <w:name w:val="line number"/>
    <w:basedOn w:val="DefaultParagraphFont"/>
    <w:semiHidden/>
    <w:unhideWhenUsed/>
    <w:qFormat/>
    <w:rsid w:val="00C25361"/>
    <w:rPr>
      <w:rFonts w:asciiTheme="minorHAnsi" w:hAnsiTheme="minorHAnsi"/>
      <w:color w:themeColor="background1" w:themeShade="F2" w:val="F2F2F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6501</Words>
  <Characters>37056</Characters>
  <Application>Microsoft Office Word</Application>
  <DocSecurity>0</DocSecurity>
  <Lines>308</Lines>
  <Paragraphs>86</Paragraphs>
  <ScaleCrop>false</ScaleCrop>
  <Company/>
  <LinksUpToDate>false</LinksUpToDate>
  <CharactersWithSpaces>43471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Coarse additions affect the plasticity and toughness of soil mixtures, Part II: Sand angularity and sand-size uniformity</dc:title>
  <dc:creator/>
  <cp:keywords/>
  <dcterms:created xsi:type="dcterms:W3CDTF">2022-08-11T16:56:23Z</dcterms:created>
  <dcterms:modified xsi:type="dcterms:W3CDTF">2022-08-11T12:56:23Z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soil-science-society-of-america-journal.csl</vt:lpwstr>
  </property>
  <property fmtid="{D5CDD505-2E9C-101B-9397-08002B2CF9AE}" pid="4" name="date">
    <vt:lpwstr>last compiled Thu. 2022-08-11, 12:56 PM</vt:lpwstr>
  </property>
  <property fmtid="{D5CDD505-2E9C-101B-9397-08002B2CF9AE}" pid="5" name="linestretch">
    <vt:lpwstr>1.5</vt:lpwstr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links-as-notes">
    <vt:lpwstr>False</vt:lpwstr>
  </property>
  <property fmtid="{D5CDD505-2E9C-101B-9397-08002B2CF9AE}" pid="9" name="mainfont">
    <vt:lpwstr>Roboto</vt:lpwstr>
  </property>
  <property fmtid="{D5CDD505-2E9C-101B-9397-08002B2CF9AE}" pid="10" name="mathfont">
    <vt:lpwstr>Fira Math Regular</vt:lpwstr>
  </property>
  <property fmtid="{D5CDD505-2E9C-101B-9397-08002B2CF9AE}" pid="11" name="output">
    <vt:lpwstr/>
  </property>
  <property fmtid="{D5CDD505-2E9C-101B-9397-08002B2CF9AE}" pid="12" name="papersize">
    <vt:lpwstr>letter</vt:lpwstr>
  </property>
  <property fmtid="{D5CDD505-2E9C-101B-9397-08002B2CF9AE}" pid="13" name="toc">
    <vt:lpwstr>False</vt:lpwstr>
  </property>
  <property fmtid="{D5CDD505-2E9C-101B-9397-08002B2CF9AE}" pid="14" name="toccolor">
    <vt:lpwstr>blue</vt:lpwstr>
  </property>
  <property fmtid="{D5CDD505-2E9C-101B-9397-08002B2CF9AE}" pid="15" name="urlcolor">
    <vt:lpwstr>blue</vt:lpwstr>
  </property>
</Properties>
</file>