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uthor-contributions"/>
    <w:p>
      <w:pPr>
        <w:pStyle w:val="Titre1"/>
      </w:pPr>
      <w:r>
        <w:t xml:space="preserve">Author contributions</w:t>
      </w:r>
    </w:p>
    <w:p>
      <w:pPr>
        <w:pStyle w:val="FirstParagraph"/>
      </w:pPr>
      <w:r>
        <w:t xml:space="preserve">Evan Mascitti: Conceptualization, Data curation, Formal analysis, Investigation, Methodology, Project administration, Resources, Software, Validation, Visualization, Writing – original draft, Writing – review &amp; editing.</w:t>
      </w:r>
    </w:p>
    <w:p>
      <w:pPr>
        <w:pStyle w:val="Corpsdetexte"/>
      </w:pPr>
      <w:r>
        <w:t xml:space="preserve">Andrew McNitt: Funding acquisition, Project administration, Resources, Supervision, Writing – review &amp; editing.</w:t>
      </w:r>
    </w:p>
    <w:p>
      <w:pPr>
        <w:pStyle w:val="Corpsdetexte"/>
      </w:pPr>
      <w:r>
        <w:t xml:space="preserve">Patrick Patrick Drohan: Writing - review and editing, Resources, Supervision: Writing - review and editing</w:t>
      </w:r>
    </w:p>
    <w:bookmarkEnd w:id="20"/>
    <w:bookmarkStart w:id="21" w:name="conflict-of-interest"/>
    <w:p>
      <w:pPr>
        <w:pStyle w:val="Titre1"/>
      </w:pPr>
      <w:r>
        <w:t xml:space="preserve">Conflict of interest</w:t>
      </w:r>
    </w:p>
    <w:p>
      <w:pPr>
        <w:pStyle w:val="FirstParagraph"/>
      </w:pPr>
      <w:r>
        <w:t xml:space="preserve">The authors declare that there are no conflicts of interest.</w:t>
      </w:r>
    </w:p>
    <w:bookmarkEnd w:id="21"/>
    <w:bookmarkStart w:id="22" w:name="acknowldgements"/>
    <w:p>
      <w:pPr>
        <w:pStyle w:val="Titre1"/>
      </w:pPr>
      <w:r>
        <w:t xml:space="preserve">Acknowldgements</w:t>
      </w:r>
    </w:p>
    <w:p>
      <w:pPr>
        <w:pStyle w:val="FirstParagraph"/>
      </w:pPr>
      <w:r>
        <w:t xml:space="preserve">This research was supported by The Foundation for Safer Athletic Fields for Everyone, the Pennsylvnia Turfgrass Council, and the Keystone Athletic Field Managers Organization.</w:t>
      </w:r>
    </w:p>
    <w:bookmarkEnd w:id="22"/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2022-08-12T16:49:45Z</dcterms:created>
  <dcterms:modified xsi:type="dcterms:W3CDTF">2022-08-12T12:49:45Z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