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ResumeName"/>
      </w:pPr>
      <w:r>
        <w:rPr>
          <w:b/>
          <w:bCs/>
        </w:rPr>
        <w:t xml:space="preserve">Taylor Morris</w:t>
      </w:r>
    </w:p>
    <w:p>
      <w:pPr>
        <w:pStyle w:val="ResumeContact"/>
      </w:pPr>
      <w:r>
        <w:t xml:space="preserve">(555) 634-9182 |</w:t>
      </w:r>
      <w:r>
        <w:t xml:space="preserve"> </w:t>
      </w:r>
      <w:hyperlink r:id="rId20">
        <w:r>
          <w:rPr>
            <w:rStyle w:val="Hyperlink"/>
          </w:rPr>
          <w:t xml:space="preserve">taylor.morris@gmail.com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linkedin.com/in/taylor-morris</w:t>
        </w:r>
      </w:hyperlink>
    </w:p>
    <w:bookmarkStart w:id="22" w:name="education"/>
    <w:p>
      <w:pPr>
        <w:pStyle w:val="Heading1"/>
        <w:ind w:left="0" w:hanging="0"/>
        <w:spacing w:before="200" w:after="40" w:line="220" w:lineRule="auto"/>
      </w:pPr>
      <w:r>
        <w:t xml:space="preserve">EDUCATION</w:t>
      </w:r>
    </w:p>
    <w:tbl>
      <w:tblPr>
        <w:tblStyle w:val="Table"/>
        <w:tblW w:type="pct" w:w="10000"/>
        <w:tblLook w:firstRow="1" w:lastRow="0" w:firstColumn="0" w:lastColumn="0" w:noHBand="0" w:noVBand="0" w:val="0020"/>
        <w:tblLayout w:type="fixed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Stanford University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Stanford, CA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School of Engineering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September 2019 – June 2021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Master of Science, Management Science and Engineering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10000"/>
        <w:tblLook w:firstRow="1" w:lastRow="0" w:firstColumn="0" w:lastColumn="0" w:noHBand="0" w:noVBand="0" w:val="0020"/>
        <w:tblLayout w:type="fixed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Ohio State University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Columbus, OH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College of Arts and Sciences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September 2014 – May 2018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Bachelor of Science, Statistics; Minor in Computer Science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bookmarkEnd w:id="22"/>
    <w:bookmarkStart w:id="23" w:name="professional-experience"/>
    <w:p>
      <w:pPr>
        <w:pStyle w:val="Heading1"/>
        <w:ind w:left="0" w:hanging="0"/>
        <w:spacing w:before="200" w:after="40" w:line="220" w:lineRule="auto"/>
      </w:pPr>
      <w:r>
        <w:t xml:space="preserve">PROFESSIONAL EXPERIENCE</w:t>
      </w:r>
    </w:p>
    <w:tbl>
      <w:tblPr>
        <w:tblStyle w:val="Table"/>
        <w:tblW w:type="pct" w:w="10000"/>
        <w:tblLook w:firstRow="1" w:lastRow="0" w:firstColumn="0" w:lastColumn="0" w:noHBand="0" w:noVBand="0" w:val="0020"/>
        <w:tblLayout w:type="fixed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Veridian Technologies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Austin, TX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Senior Strategy and Analytics Manager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March 2023 – Present</w:t>
              <w:rPr>
                <w:b/>
                <w:bCs/>
              </w:rPr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Lead a team of five analysts supporting go-to-market strategy and revenue operations for a $420M SaaS product line, owning quarterly business reviews and executive-facing reporting</w:t>
      </w:r>
    </w:p>
    <w:p>
      <w:pPr>
        <w:pStyle w:val="Compact"/>
        <w:numPr>
          <w:ilvl w:val="0"/>
          <w:numId w:val="1001"/>
        </w:numPr>
      </w:pPr>
      <w:r>
        <w:t xml:space="preserve">Built and maintain a real-time performance dashboard in Tableau consolidating pipeline, churn, and expansion data across three regional sales teams, reducing reporting prep time by 60%</w:t>
      </w:r>
    </w:p>
    <w:p>
      <w:pPr>
        <w:pStyle w:val="Compact"/>
        <w:numPr>
          <w:ilvl w:val="0"/>
          <w:numId w:val="1001"/>
        </w:numPr>
      </w:pPr>
      <w:r>
        <w:t xml:space="preserve">Partnered with Finance and Product to design a pricing sensitivity model that informed a tiered pricing restructure, contributing to a 14% increase in average contract value within two quarters</w:t>
      </w:r>
    </w:p>
    <w:p>
      <w:pPr>
        <w:pStyle w:val="Compact"/>
        <w:numPr>
          <w:ilvl w:val="0"/>
          <w:numId w:val="1001"/>
        </w:numPr>
      </w:pPr>
      <w:r>
        <w:t xml:space="preserve">Scoped and managed cross-functional initiatives across Sales, Marketing, and Customer Success to improve net revenue retention, increasing NRR from 108% to 117% year-over-year</w:t>
      </w:r>
    </w:p>
    <w:p>
      <w:pPr>
        <w:pStyle w:val="Compact"/>
        <w:numPr>
          <w:ilvl w:val="0"/>
          <w:numId w:val="1001"/>
        </w:numPr>
      </w:pPr>
      <w:r>
        <w:t xml:space="preserve">Mentored two junior analysts on SQL, data modeling, and stakeholder communication; both received promotions within 18 months</w:t>
      </w:r>
    </w:p>
    <w:p>
      <w:pPr>
        <w:spacing w:before="0" w:after="0" w:line="276" w:lineRule="auto"/>
      </w:pPr>
      <w:r>
        <w:t> </w:t>
      </w:r>
    </w:p>
    <w:tbl>
      <w:tblPr>
        <w:tblStyle w:val="Table"/>
        <w:tblW w:type="pct" w:w="10000"/>
        <w:tblLook w:firstRow="1" w:lastRow="0" w:firstColumn="0" w:lastColumn="0" w:noHBand="0" w:noVBand="0" w:val="0020"/>
        <w:tblLayout w:type="fixed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Veridian Technologies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Austin, TX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Strategy and Analytics Analyst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August 2021 – March 2023</w:t>
              <w:rPr>
                <w:b/>
                <w:bCs/>
              </w:rPr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Supported strategic planning cycles by building financial models and competitive landscape analyses used to prioritize $18M in annual product investment</w:t>
      </w:r>
    </w:p>
    <w:p>
      <w:pPr>
        <w:pStyle w:val="Compact"/>
        <w:numPr>
          <w:ilvl w:val="0"/>
          <w:numId w:val="1002"/>
        </w:numPr>
      </w:pPr>
      <w:r>
        <w:t xml:space="preserve">Developed and maintained SQL pipelines to automate recurring reporting on customer health, usage, and cohort retention, replacing manual Excel processes across three teams</w:t>
      </w:r>
    </w:p>
    <w:p>
      <w:pPr>
        <w:pStyle w:val="Compact"/>
        <w:numPr>
          <w:ilvl w:val="0"/>
          <w:numId w:val="1002"/>
        </w:numPr>
      </w:pPr>
      <w:r>
        <w:t xml:space="preserve">Collaborated with Product and Engineering to define and track OKRs for two platform launches, synthesizing telemetry data and user research into monthly leadership briefs</w:t>
      </w:r>
    </w:p>
    <w:p>
      <w:pPr>
        <w:pStyle w:val="Compact"/>
        <w:numPr>
          <w:ilvl w:val="0"/>
          <w:numId w:val="1002"/>
        </w:numPr>
      </w:pPr>
      <w:r>
        <w:t xml:space="preserve">Conducted win/loss analysis on 300+ sales opportunities, identifying pricing and positioning gaps that informed a revised sales playbook adopted company-wide</w:t>
      </w:r>
    </w:p>
    <w:p>
      <w:pPr>
        <w:spacing w:before="0" w:after="0" w:line="276" w:lineRule="auto"/>
      </w:pPr>
      <w:r>
        <w:t> </w:t>
      </w:r>
    </w:p>
    <w:tbl>
      <w:tblPr>
        <w:tblStyle w:val="Table"/>
        <w:tblW w:type="pct" w:w="10000"/>
        <w:tblLook w:firstRow="1" w:lastRow="0" w:firstColumn="0" w:lastColumn="0" w:noHBand="0" w:noVBand="0" w:val="0020"/>
        <w:tblLayout w:type="fixed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Independent Consultant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Remote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 and Strategy Consultant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January 2020 – August 2021</w:t>
              <w:rPr>
                <w:b/>
                <w:bCs/>
              </w:rPr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Delivered analytics and market research engagements for three early-stage startups, providing actionable insights on customer segmentation, funnel performance, and unit economics</w:t>
      </w:r>
    </w:p>
    <w:p>
      <w:pPr>
        <w:pStyle w:val="Compact"/>
        <w:numPr>
          <w:ilvl w:val="0"/>
          <w:numId w:val="1003"/>
        </w:numPr>
      </w:pPr>
      <w:r>
        <w:t xml:space="preserve">Built financial models and investor-facing slide decks supporting two seed-round fundraises totaling $4.2M</w:t>
      </w:r>
    </w:p>
    <w:p>
      <w:pPr>
        <w:spacing w:before="0" w:after="0" w:line="276" w:lineRule="auto"/>
      </w:pPr>
      <w:r>
        <w:t> </w:t>
      </w:r>
    </w:p>
    <w:tbl>
      <w:tblPr>
        <w:tblStyle w:val="Table"/>
        <w:tblW w:type="pct" w:w="10000"/>
        <w:tblLook w:firstRow="1" w:lastRow="0" w:firstColumn="0" w:lastColumn="0" w:noHBand="0" w:noVBand="0" w:val="0020"/>
        <w:tblLayout w:type="fixed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Brightside Capital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Chicago, IL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Business Analyst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July 2018 – December 2019</w:t>
              <w:rPr>
                <w:b/>
                <w:bCs/>
              </w:rPr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Supported a team of six investment analysts in due diligence, financial modeling, and portfolio monitoring for a $280M mid-market private equity fund</w:t>
      </w:r>
    </w:p>
    <w:p>
      <w:pPr>
        <w:pStyle w:val="Compact"/>
        <w:numPr>
          <w:ilvl w:val="0"/>
          <w:numId w:val="1004"/>
        </w:numPr>
      </w:pPr>
      <w:r>
        <w:t xml:space="preserve">Built LBO and DCF models for seven deal evaluations, preparing summary memos and recommendation decks presented to the investment committee</w:t>
      </w:r>
    </w:p>
    <w:p>
      <w:pPr>
        <w:pStyle w:val="Compact"/>
        <w:numPr>
          <w:ilvl w:val="0"/>
          <w:numId w:val="1004"/>
        </w:numPr>
      </w:pPr>
      <w:r>
        <w:t xml:space="preserve">Automated monthly portfolio reporting using Python and Excel VBA, cutting turnaround time from three days to four hours</w:t>
      </w:r>
    </w:p>
    <w:p>
      <w:pPr>
        <w:pStyle w:val="Compact"/>
        <w:numPr>
          <w:ilvl w:val="0"/>
          <w:numId w:val="1004"/>
        </w:numPr>
      </w:pPr>
      <w:r>
        <w:t xml:space="preserve">Coordinated data room setup and documentation for two completed acquisitions with combined enterprise value of $95M</w:t>
      </w:r>
    </w:p>
    <w:p>
      <w:pPr>
        <w:spacing w:before="0" w:after="0" w:line="276" w:lineRule="auto"/>
      </w:pPr>
      <w:r>
        <w:t> </w:t>
      </w:r>
    </w:p>
    <w:tbl>
      <w:tblPr>
        <w:tblStyle w:val="Table"/>
        <w:tblW w:type="pct" w:w="10000"/>
        <w:tblLook w:firstRow="1" w:lastRow="0" w:firstColumn="0" w:lastColumn="0" w:noHBand="0" w:noVBand="0" w:val="0020"/>
        <w:tblLayout w:type="fixed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Ohio State University – Department of Statistics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Columbus, OH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Undergraduate Research Assistant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January 2017 – May 2018</w:t>
              <w:rPr>
                <w:b/>
                <w:bCs/>
              </w:rPr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Assisted Professor Linda Hsu on a longitudinal study examining predictors of household financial resilience using PSID microdata across 12,000 survey respondents</w:t>
      </w:r>
    </w:p>
    <w:p>
      <w:pPr>
        <w:pStyle w:val="Compact"/>
        <w:numPr>
          <w:ilvl w:val="0"/>
          <w:numId w:val="1005"/>
        </w:numPr>
      </w:pPr>
      <w:r>
        <w:t xml:space="preserve">Cleaned, merged, and validated datasets in R; produced visualizations and summary tables incorporated into two conference presentations</w:t>
      </w:r>
    </w:p>
    <w:p>
      <w:pPr>
        <w:pStyle w:val="Compact"/>
        <w:numPr>
          <w:ilvl w:val="0"/>
          <w:numId w:val="1005"/>
        </w:numPr>
      </w:pPr>
      <w:r>
        <w:t xml:space="preserve">Co-authored a working paper submitted to the Journal of Applied Econometrics; contributed the data pipeline, robustness checks, and appendix tables</w:t>
      </w:r>
    </w:p>
    <w:p>
      <w:pPr>
        <w:spacing w:before="0" w:after="0" w:line="276" w:lineRule="auto"/>
      </w:pPr>
      <w:r>
        <w:t> </w:t>
      </w:r>
    </w:p>
    <w:tbl>
      <w:tblPr>
        <w:tblStyle w:val="Table"/>
        <w:tblW w:type="pct" w:w="10000"/>
        <w:tblLook w:firstRow="1" w:lastRow="0" w:firstColumn="0" w:lastColumn="0" w:noHBand="0" w:noVBand="0" w:val="0020"/>
        <w:tblLayout w:type="fixed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Nationwide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Columbus, OH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 Analytics Intern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2017 – August 2017</w:t>
              <w:rPr>
                <w:b/>
                <w:bCs/>
              </w:rPr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Analyzed claims frequency and severity trends across four product lines using SAS and Excel, presenting findings to a team of 12 actuaries and business analysts</w:t>
      </w:r>
    </w:p>
    <w:p>
      <w:pPr>
        <w:pStyle w:val="Compact"/>
        <w:numPr>
          <w:ilvl w:val="0"/>
          <w:numId w:val="1006"/>
        </w:numPr>
      </w:pPr>
      <w:r>
        <w:t xml:space="preserve">Designed an interactive Excel dashboard tracking regional loss ratios that was adopted by the Property Analytics team for ongoing monthly reporting</w:t>
      </w:r>
    </w:p>
    <w:p>
      <w:pPr>
        <w:pStyle w:val="Compact"/>
        <w:numPr>
          <w:ilvl w:val="0"/>
          <w:numId w:val="1006"/>
        </w:numPr>
      </w:pPr>
      <w:r>
        <w:t xml:space="preserve">Completed coursework in actuarial fundamentals and presented a capstone project on predictive modeling for auto insurance pricing to senior leadership</w:t>
      </w:r>
    </w:p>
    <w:bookmarkEnd w:id="23"/>
    <w:bookmarkStart w:id="24" w:name="leadership-and-community-involvement"/>
    <w:p>
      <w:pPr>
        <w:pStyle w:val="Heading1"/>
        <w:ind w:left="0" w:hanging="0"/>
        <w:spacing w:before="200" w:after="40" w:line="220" w:lineRule="auto"/>
      </w:pPr>
      <w:r>
        <w:t xml:space="preserve">LEADERSHIP AND COMMUNITY INVOLVEMENT</w:t>
      </w:r>
    </w:p>
    <w:tbl>
      <w:tblPr>
        <w:tblStyle w:val="Table"/>
        <w:tblW w:type="pct" w:w="10000"/>
        <w:tblLook w:firstRow="1" w:lastRow="0" w:firstColumn="0" w:lastColumn="0" w:noHBand="0" w:noVBand="0" w:val="0020"/>
        <w:tblLayout w:type="fixed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Stanford Consulting and Analytics Club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Stanford, CA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President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September 2020 – June 2021</w:t>
              <w:rPr>
                <w:b/>
                <w:bCs/>
              </w:rPr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Led a 140-member graduate organization connecting students with consulting and analytics opportunities through case workshops, speaker events, and recruiting preparation</w:t>
      </w:r>
    </w:p>
    <w:p>
      <w:pPr>
        <w:pStyle w:val="Compact"/>
        <w:numPr>
          <w:ilvl w:val="0"/>
          <w:numId w:val="1007"/>
        </w:numPr>
      </w:pPr>
      <w:r>
        <w:t xml:space="preserve">Organized a three-day case competition with 80 participants and five company sponsors, managing a $22,000 event budget and logistics across four venues</w:t>
      </w:r>
    </w:p>
    <w:p>
      <w:pPr>
        <w:pStyle w:val="Compact"/>
        <w:numPr>
          <w:ilvl w:val="0"/>
          <w:numId w:val="1007"/>
        </w:numPr>
      </w:pPr>
      <w:r>
        <w:t xml:space="preserve">Restructured the club’s mentorship program, pairing 45 first-year students with industry professionals and tracking placement outcomes through a purpose-built Airtable system</w:t>
      </w:r>
    </w:p>
    <w:p>
      <w:pPr>
        <w:pStyle w:val="Compact"/>
        <w:numPr>
          <w:ilvl w:val="0"/>
          <w:numId w:val="1007"/>
        </w:numPr>
      </w:pPr>
      <w:r>
        <w:t xml:space="preserve">Negotiated partnerships with six companies for on-campus recruiting events, expanding the club’s employer network by 40% over the prior year</w:t>
      </w:r>
    </w:p>
    <w:p>
      <w:pPr>
        <w:pStyle w:val="Compact"/>
        <w:numPr>
          <w:ilvl w:val="0"/>
          <w:numId w:val="1007"/>
        </w:numPr>
      </w:pPr>
      <w:r>
        <w:t xml:space="preserve">Oversaw a four-person executive board and delegated responsibilities across programming, finance, and communications committees</w:t>
      </w:r>
    </w:p>
    <w:p>
      <w:pPr>
        <w:spacing w:before="0" w:after="0" w:line="276" w:lineRule="auto"/>
      </w:pPr>
      <w:r>
        <w:t> </w:t>
      </w:r>
    </w:p>
    <w:tbl>
      <w:tblPr>
        <w:tblStyle w:val="Table"/>
        <w:tblW w:type="pct" w:w="10000"/>
        <w:tblLook w:firstRow="1" w:lastRow="0" w:firstColumn="0" w:lastColumn="0" w:noHBand="0" w:noVBand="0" w:val="0020"/>
        <w:tblLayout w:type="fixed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Ohio State University Alumni Association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Remote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Career Mentor – Volunteer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August 2021 – Present</w:t>
              <w:rPr>
                <w:b/>
                <w:bCs/>
              </w:rPr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Provide one-on-one career coaching to three to five current OSU students and recent graduates each semester, advising on resume strategy, networking, and offer negotiation</w:t>
      </w:r>
    </w:p>
    <w:p>
      <w:pPr>
        <w:pStyle w:val="Compact"/>
        <w:numPr>
          <w:ilvl w:val="0"/>
          <w:numId w:val="1008"/>
        </w:numPr>
      </w:pPr>
      <w:r>
        <w:t xml:space="preserve">Facilitated two virtual panels on breaking into finance and tech for a combined audience of 200 students through the College of Arts and Sciences career series</w:t>
      </w:r>
    </w:p>
    <w:p>
      <w:pPr>
        <w:pStyle w:val="Compact"/>
        <w:numPr>
          <w:ilvl w:val="0"/>
          <w:numId w:val="1008"/>
        </w:numPr>
      </w:pPr>
      <w:r>
        <w:t xml:space="preserve">Reviewed and gave structured written feedback on 30+ student resumes and cover letters submitted through the alumni mentoring portal</w:t>
      </w:r>
    </w:p>
    <w:p>
      <w:pPr>
        <w:pStyle w:val="Compact"/>
        <w:numPr>
          <w:ilvl w:val="0"/>
          <w:numId w:val="1008"/>
        </w:numPr>
      </w:pPr>
      <w:r>
        <w:t xml:space="preserve">Recognized as a top-rated mentor in the 2023 program cohort based on participant satisfaction surveys</w:t>
      </w:r>
    </w:p>
    <w:p>
      <w:pPr>
        <w:spacing w:before="0" w:after="0" w:line="276" w:lineRule="auto"/>
      </w:pPr>
      <w:r>
        <w:t> </w:t>
      </w:r>
    </w:p>
    <w:tbl>
      <w:tblPr>
        <w:tblStyle w:val="Table"/>
        <w:tblW w:type="pct" w:w="10000"/>
        <w:tblLayout w:type="fixed"/>
        <w:tblLook w:firstRow="1" w:lastRow="0" w:firstColumn="0" w:lastColumn="0" w:noHBand="0" w:noVBand="0" w:val="0020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Junior Achievement of Central Texas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Austin, TX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Volunteer Financial Literacy Instructor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September 2022 – May 2024</w:t>
              <w:rPr>
                <w:b/>
                <w:bCs/>
              </w:rPr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Delivered a six-session financial literacy curriculum to 8th graders at three Title I middle schools covering budgeting, saving, credit, and entrepreneurship</w:t>
      </w:r>
    </w:p>
    <w:p>
      <w:pPr>
        <w:pStyle w:val="Compact"/>
        <w:numPr>
          <w:ilvl w:val="0"/>
          <w:numId w:val="1009"/>
        </w:numPr>
      </w:pPr>
      <w:r>
        <w:t xml:space="preserve">Adapted lesson content and pacing for mixed-ability classrooms, maintaining average session engagement scores above 4.5 out of 5</w:t>
      </w:r>
    </w:p>
    <w:p>
      <w:pPr>
        <w:pStyle w:val="Compact"/>
        <w:numPr>
          <w:ilvl w:val="0"/>
          <w:numId w:val="1009"/>
        </w:numPr>
      </w:pPr>
      <w:r>
        <w:t xml:space="preserve">Coordinated logistics for a student business pitch competition, recruiting four local small business owners as judges and sourcing $800 in prize funding from community sponsors</w:t>
      </w:r>
    </w:p>
    <w:p>
      <w:pPr>
        <w:pStyle w:val="Compact"/>
        <w:numPr>
          <w:ilvl w:val="0"/>
          <w:numId w:val="1009"/>
        </w:numPr>
      </w:pPr>
      <w:r>
        <w:t xml:space="preserve">Trained two new volunteer instructors on JA curriculum standards and classroom facilitation best practices</w:t>
      </w:r>
    </w:p>
    <w:p>
      <w:pPr>
        <w:pStyle w:val="Compact"/>
        <w:numPr>
          <w:ilvl w:val="0"/>
          <w:numId w:val="1009"/>
        </w:numPr>
      </w:pPr>
      <w:r>
        <w:t xml:space="preserve">Reached 340 students across two academic years; 91% of post-program survey respondents reported increased confidence in managing personal finances</w:t>
      </w:r>
    </w:p>
    <w:p>
      <w:pPr>
        <w:spacing w:before="0" w:after="0" w:line="276" w:lineRule="auto"/>
      </w:pPr>
      <w:r>
        <w:t> </w:t>
      </w:r>
    </w:p>
    <w:tbl>
      <w:tblPr>
        <w:tblStyle w:val="Table"/>
        <w:tblW w:type="pct" w:w="10000"/>
        <w:tblLook w:firstRow="1" w:lastRow="0" w:firstColumn="0" w:lastColumn="0" w:noHBand="0" w:noVBand="0" w:val="0020"/>
        <w:tblLayout w:type="fixed"/>
      </w:tblPr>
      <w:tblGrid>
        <w:gridCol w:w="8070"/>
        <w:gridCol w:w="3000"/>
      </w:tblGrid>
      <w:tr>
        <w:trPr>
          <w:tblHeader w:val="on"/>
        </w:trPr>
        <w:tc>
          <w:tcPr/>
          <w:p>
            <w:pPr>
              <w:pStyle w:val="Heading2"/>
              <w:ind w:left="0" w:hanging="0"/>
            </w:pPr>
            <w:r>
              <w:rPr>
                <w:b/>
                <w:bCs/>
              </w:rPr>
              <w:t xml:space="preserve">Austin Triathlon Club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Austin, TX</w:t>
              <w:rPr>
                <w:b/>
                <w:bCs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Events and Logistics Coordinator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March 2022 – March 2023</w:t>
              <w:rPr>
                <w:b/>
                <w:bCs/>
              </w:rPr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Coordinated logistics for eight club-sponsored training events and two local charity races with combined participation of 600 athletes, managing vendor relationships, course permits, and volunteer scheduling</w:t>
      </w:r>
    </w:p>
    <w:p>
      <w:pPr>
        <w:pStyle w:val="Compact"/>
        <w:numPr>
          <w:ilvl w:val="0"/>
          <w:numId w:val="1010"/>
        </w:numPr>
      </w:pPr>
      <w:r>
        <w:t xml:space="preserve">Built and maintained the club’s event registration system in Eventbrite and managed communications to a mailing list of 850 members</w:t>
      </w:r>
    </w:p>
    <w:p>
      <w:pPr>
        <w:pStyle w:val="Compact"/>
        <w:numPr>
          <w:ilvl w:val="0"/>
          <w:numId w:val="1010"/>
        </w:numPr>
      </w:pPr>
      <w:r>
        <w:t xml:space="preserve">Negotiated discounted race entry and gear partnerships with four local sponsors, saving club members an estimated $3,500 annually</w:t>
      </w:r>
    </w:p>
    <w:bookmarkEnd w:id="24"/>
    <w:sectPr>
      <w:pgSz w:h="15810" w:orient="portrait" w:w="12230"/>
      <w:pgMar w:bottom="280" w:footer="360" w:header="360" w:left="580" w:right="580" w:top="6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lang w:val="en"/>
      </w:rPr>
    </w:rPrDefault>
    <w:pPrDefault>
      <w:pPr>
        <w:widowControl w:val="0"/>
        <w:spacing w:line="220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pBdr>
        <w:bottom w:color="000000" w:space="1" w:sz="6" w:val="single"/>
      </w:pBdr>
      <w:spacing w:after="12" w:before="110" w:line="220" w:lineRule="auto"/>
      <w:ind w:left="140"/>
      <w:jc w:val="left"/>
    </w:pPr>
    <w:rPr>
      <w:rFonts w:ascii="Times New Roman" w:cs="Times New Roman" w:eastAsia="Times New Roman" w:hAnsi="Times New Roman"/>
      <w:b w:val="1"/>
      <w:bCs w:val="1"/>
      <w:smallCaps w:val="1"/>
      <w:sz w:val="20"/>
      <w:szCs w:val="20"/>
    </w:rPr>
  </w:style>
  <w:style w:styleId="Heading2" w:type="paragraph">
    <w:name w:val="heading 2"/>
    <w:basedOn w:val="Normal"/>
    <w:next w:val="Normal"/>
    <w:pPr>
      <w:spacing w:after="0" w:before="0" w:line="220" w:lineRule="auto"/>
      <w:ind w:left="145"/>
      <w:jc w:val="left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styleId="Heading3" w:type="paragraph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styleId="Heading6" w:type="paragraph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spacing w:before="70" w:lineRule="auto"/>
      <w:jc w:val="center"/>
    </w:pPr>
    <w:rPr>
      <w:b w:val="1"/>
      <w:bCs w:val="1"/>
      <w:sz w:val="28"/>
      <w:szCs w:val="28"/>
    </w:rPr>
  </w:style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  <w:rPr>
      <w:rFonts w:ascii="Times New Roman" w:cs="Times New Roman" w:eastAsia="Times New Roman" w:hAnsi="Times New Roman"/>
      <w:sz w:val="20"/>
      <w:szCs w:val="20"/>
    </w:rPr>
  </w:style>
  <w:style w:default="1" w:styleId="DefaultParagraphFont" w:type="character">
    <w:name w:val="Default Paragraph Font"/>
    <w:uiPriority w:val="1"/>
    <w:semiHidden w:val="1"/>
    <w:unhideWhenUsed w:val="1"/>
  </w:style>
  <w:style w:default="1" w:styleId="TableNormal" w:type="table">
    <w:name w:val="Normal Table"/>
    <w:uiPriority w:val="99"/>
    <w:semiHidden w:val="1"/>
    <w:unhideWhenUsed w:val="1"/>
    <w:tblPr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default="1" w:styleId="NoList" w:type="numbering">
    <w:name w:val="No List"/>
    <w:uiPriority w:val="99"/>
    <w:semiHidden w:val="1"/>
    <w:unhideWhenUsed w:val="1"/>
  </w:style>
  <w:style w:customStyle="1" w:styleId="TableNormal0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customStyle="1" w:styleId="TableNormal1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styleId="BodyText" w:type="paragraph">
    <w:name w:val="Body Text"/>
    <w:basedOn w:val="Normal"/>
    <w:uiPriority w:val="1"/>
    <w:qFormat w:val="1"/>
    <w:pPr>
      <w:spacing w:after="0" w:before="0" w:line="220" w:lineRule="auto"/>
      <w:ind w:left="0"/>
      <w:jc w:val="left"/>
    </w:pPr>
    <w:rPr>
      <w:rFonts w:ascii="Times New Roman" w:cs="Times New Roman" w:eastAsia="Times New Roman" w:hAnsi="Times New Roman"/>
      <w:sz w:val="20"/>
      <w:szCs w:val="20"/>
      <w:lang w:val="en-US"/>
    </w:rPr>
  </w:style>
  <w:style w:styleId="ListParagraph" w:type="paragraph">
    <w:name w:val="List Paragraph"/>
    <w:basedOn w:val="Normal"/>
    <w:uiPriority w:val="1"/>
    <w:qFormat w:val="1"/>
    <w:pPr>
      <w:spacing w:line="244" w:lineRule="exact"/>
      <w:ind w:hanging="252" w:left="920"/>
    </w:pPr>
    <w:rPr>
      <w:lang w:val="en-US"/>
    </w:rPr>
  </w:style>
  <w:style w:customStyle="1" w:styleId="TableParagraph" w:type="paragraph">
    <w:name w:val="Table Paragraph"/>
    <w:basedOn w:val="Normal"/>
    <w:uiPriority w:val="1"/>
    <w:qFormat w:val="1"/>
    <w:rPr>
      <w:lang w:val="en-US"/>
    </w:rPr>
  </w:style>
  <w:style w:customStyle="1" w:styleId="Compact" w:type="paragraph">
    <w:name w:val="Compact"/>
    <w:pPr>
      <w:spacing w:after="0" w:before="0" w:line="220" w:lineRule="auto"/>
      <w:jc w:val="left"/>
    </w:pPr>
    <w:rPr>
      <w:rFonts w:ascii="Times New Roman" w:cs="Times New Roman" w:eastAsia="Times New Roman" w:hAnsi="Times New Roman"/>
      <w:sz w:val="20"/>
      <w:szCs w:val="20"/>
    </w:rPr>
  </w:style>
  <w:style w:customStyle="1" w:styleId="Heading1Char" w:type="character">
    <w:name w:val="Heading1Char"/>
    <w:rPr>
      <w:rFonts w:ascii="Times New Roman" w:cs="Times New Roman" w:eastAsia="Times New Roman" w:hAnsi="Times New Roman"/>
      <w:b w:val="1"/>
      <w:bCs w:val="1"/>
      <w:caps w:val="1"/>
      <w:sz w:val="20"/>
      <w:szCs w:val="20"/>
    </w:rPr>
  </w:style>
  <w:style w:customStyle="1" w:styleId="Heading2Char" w:type="character">
    <w:name w:val="Heading2Char"/>
    <w:rPr>
      <w:rFonts w:ascii="Times New Roman" w:cs="Times New Roman" w:eastAsia="Times New Roman" w:hAnsi="Times New Roman"/>
      <w:b w:val="1"/>
      <w:bCs w:val="1"/>
      <w:sz w:val="20"/>
      <w:szCs w:val="20"/>
    </w:rPr>
  </w:style>
  <w:style w:customStyle="1" w:styleId="ResumeName" w:type="paragraph">
    <w:name w:val="ResumeName"/>
    <w:basedOn w:val="Normal"/>
    <w:pPr>
      <w:spacing w:after="15" w:before="40" w:line="24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customStyle="1" w:styleId="ResumeContact" w:type="paragraph">
    <w:name w:val="ResumeContact"/>
    <w:basedOn w:val="Normal"/>
    <w:pPr>
      <w:spacing w:after="50" w:before="0" w:line="220" w:lineRule="auto"/>
      <w:jc w:val="center"/>
    </w:pPr>
    <w:rPr>
      <w:rFonts w:ascii="Times New Roman" w:cs="Times New Roman" w:eastAsia="Times New Roman" w:hAnsi="Times New Roman"/>
      <w:sz w:val="20"/>
      <w:szCs w:val="20"/>
    </w:rPr>
  </w:style>
  <w:style w:customStyle="1" w:styleId="Hyperlink" w:type="character">
    <w:name w:val="Hyperlink"/>
    <w:rPr>
      <w:color w:val="0000ff"/>
      <w:u w:val="none"/>
    </w:rPr>
  </w:style>
  <w:style w:customStyle="1" w:styleId="Table" w:type="table">
    <w:name w:val="Table"/>
    <w:tblPr>
      <w:tblCellMar>
        <w:top w:type="dxa" w:w="0.0"/>
        <w:left w:type="dxa" w:w="24.0"/>
        <w:bottom w:type="dxa" w:w="0.0"/>
        <w:right w:type="dxa" w:w="24.0"/>
      </w:tblCellMar>
    </w:tblPr>
  </w:style>
  <w:style w:customStyle="1" w:styleId="SourceCode" w:type="paragraph">
    <w:name w:val="Source Code"/>
    <w:basedOn w:val="Normal"/>
    <w:link w:val="VerbatimChar"/>
    <w:pPr>
      <w:shd w:fill="f1f3f5" w:val="clear"/>
      <w:wordWrap w:val="0"/>
    </w:pPr>
  </w:style>
  <w:style w:customStyle="1" w:styleId="KeywordTok" w:type="character">
    <w:name w:val="KeywordTok"/>
    <w:basedOn w:val="VerbatimChar"/>
    <w:rPr>
      <w:b w:val="1"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 w:val="1"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 w:val="1"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 w:val="1"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 w:val="1"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  <w:style w:styleId="Subtitle" w:type="paragraph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24.0"/>
        <w:bottom w:type="dxa" w:w="0.0"/>
        <w:right w:type="dxa" w:w="24.0"/>
      </w:tblCellMar>
    </w:tbl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linkedin.com/in/taylor-morris" TargetMode="External" /><Relationship Type="http://schemas.openxmlformats.org/officeDocument/2006/relationships/hyperlink" Id="rId20" Target="mailto:taylor.morris@gmail.com" TargetMode="Externa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linkedin.com/in/taylor-morris" TargetMode="External" /><Relationship Type="http://schemas.openxmlformats.org/officeDocument/2006/relationships/hyperlink" Id="rId20" Target="mailto:taylor.morri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2026-04-07T05:37:56Z</dcterms:created>
  <dcterms:modified xsi:type="dcterms:W3CDTF">2026-04-07T05:37:56Z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