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ResumeName"/>
      </w:pPr>
      <w:r>
        <w:rPr>
          <w:b/>
          <w:bCs/>
        </w:rPr>
        <w:t xml:space="preserve">Jordan Steele-Watson</w:t>
      </w:r>
    </w:p>
    <w:p>
      <w:pPr>
        <w:pStyle w:val="ResumeContact"/>
      </w:pPr>
      <w:r>
        <w:t xml:space="preserve">(555) 819-4237 |</w:t>
      </w:r>
      <w:r>
        <w:t xml:space="preserve"> </w:t>
      </w:r>
      <w:hyperlink r:id="rId20">
        <w:r>
          <w:rPr>
            <w:rStyle w:val="Hyperlink"/>
          </w:rPr>
          <w:t xml:space="preserve">jordan.steelew@gmail.com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linkedin.com/in/jordan-steele-watson</w:t>
        </w:r>
      </w:hyperlink>
    </w:p>
    <w:bookmarkStart w:id="22" w:name="education"/>
    <w:p>
      <w:pPr>
        <w:pStyle w:val="Heading1"/>
        <w:ind w:left="0" w:hanging="0"/>
        <w:spacing w:before="200" w:after="40" w:line="220" w:lineRule="auto"/>
      </w:pPr>
      <w:r>
        <w:t xml:space="preserve">EDUCATION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Stanford University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Stanford, CA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School of 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September 2019 – June 2021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Master of Arts, Student Affairs Administration and Policy</w:t>
            </w:r>
          </w:p>
        </w:tc>
        <w:tc>
          <w:tcPr/>
          <w:p>
            <w:pPr>
              <w:pStyle w:val="Compact"/>
              <w:jc w:val="right"/>
            </w:pP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University of California, Davis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Davis, CA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College of Letters and Science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September 2015 – June 2019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Bachelor of Arts, Psychology; Minor in Sociology</w:t>
            </w:r>
          </w:p>
        </w:tc>
        <w:tc>
          <w:tcPr/>
          <w:p>
            <w:pPr>
              <w:pStyle w:val="Compact"/>
              <w:jc w:val="right"/>
            </w:pPr>
          </w:p>
        </w:tc>
      </w:tr>
    </w:tbl>
    <w:bookmarkEnd w:id="22"/>
    <w:bookmarkStart w:id="23" w:name="professional-experience"/>
    <w:p>
      <w:pPr>
        <w:pStyle w:val="Heading1"/>
        <w:ind w:left="0" w:hanging="0"/>
        <w:spacing w:before="200" w:after="40" w:line="220" w:lineRule="auto"/>
      </w:pPr>
      <w:r>
        <w:t xml:space="preserve">PROFESSIONAL EXPERIENCE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Stanford University – Dean of Students 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Stanford, CA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Student Success Advisor II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August 2023 – Present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Advise undergraduate students in the School of Humanities and Sciences on academic planning, major declarations, and degree completion pathways across 50+ interdisciplinary majors</w:t>
      </w:r>
    </w:p>
    <w:p>
      <w:pPr>
        <w:pStyle w:val="Compact"/>
        <w:numPr>
          <w:ilvl w:val="0"/>
          <w:numId w:val="1001"/>
        </w:numPr>
      </w:pPr>
      <w:r>
        <w:t xml:space="preserve">Support students in the School of Earth, Energy &amp; Environmental Sciences with program requirements, research opportunities, and graduate school preparation</w:t>
      </w:r>
    </w:p>
    <w:p>
      <w:pPr>
        <w:pStyle w:val="Compact"/>
        <w:numPr>
          <w:ilvl w:val="0"/>
          <w:numId w:val="1001"/>
        </w:numPr>
      </w:pPr>
      <w:r>
        <w:t xml:space="preserve">Instruct</w:t>
      </w:r>
      <w:r>
        <w:t xml:space="preserve"> </w:t>
      </w:r>
      <w:r>
        <w:t xml:space="preserve">“COLLEGE 101,”</w:t>
      </w:r>
      <w:r>
        <w:t xml:space="preserve"> </w:t>
      </w:r>
      <w:r>
        <w:t xml:space="preserve">a first-year transition seminar providing incoming students with strategies for academic success, campus resource navigation, and community engagement</w:t>
      </w:r>
    </w:p>
    <w:p>
      <w:pPr>
        <w:pStyle w:val="Compact"/>
        <w:numPr>
          <w:ilvl w:val="0"/>
          <w:numId w:val="1001"/>
        </w:numPr>
      </w:pPr>
      <w:r>
        <w:t xml:space="preserve">Guide students through academic difficulty processes including leaves of absence, reinstatement petitions, and academic renewal, collaborating with the Office of Accessible Education as needed</w:t>
      </w:r>
    </w:p>
    <w:p>
      <w:pPr>
        <w:pStyle w:val="Compact"/>
        <w:numPr>
          <w:ilvl w:val="0"/>
          <w:numId w:val="1001"/>
        </w:numPr>
      </w:pPr>
      <w:r>
        <w:t xml:space="preserve">Develop individualized four-year graduation plans in alignment with university and program requirements, advising a caseload of 380 students</w:t>
      </w:r>
    </w:p>
    <w:p>
      <w:pPr>
        <w:spacing w:before="0" w:after="0" w:line="276" w:lineRule="auto"/>
      </w:pPr>
      <w:r>
        <w:t> 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Stanford University – Dean of Students 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Stanford, CA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Student Success Advisor 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January 2022 – August 2023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Advised first-generation and low-income undergraduate students across multiple schools on course selection, academic standing, and financial aid appeals through the FIRST program</w:t>
      </w:r>
    </w:p>
    <w:p>
      <w:pPr>
        <w:pStyle w:val="Compact"/>
        <w:numPr>
          <w:ilvl w:val="0"/>
          <w:numId w:val="1002"/>
        </w:numPr>
      </w:pPr>
      <w:r>
        <w:t xml:space="preserve">Managed a caseload of 310 students, building individualized academic plans and providing proactive outreach to students flagged through the early alert system</w:t>
      </w:r>
    </w:p>
    <w:p>
      <w:pPr>
        <w:pStyle w:val="Compact"/>
        <w:numPr>
          <w:ilvl w:val="0"/>
          <w:numId w:val="1002"/>
        </w:numPr>
      </w:pPr>
      <w:r>
        <w:t xml:space="preserve">Guided pre-health and pre-law students on prerequisite sequencing, standardized testing timelines, and professional school application requirements</w:t>
      </w:r>
    </w:p>
    <w:p>
      <w:pPr>
        <w:pStyle w:val="Compact"/>
        <w:numPr>
          <w:ilvl w:val="0"/>
          <w:numId w:val="1002"/>
        </w:numPr>
      </w:pPr>
      <w:r>
        <w:t xml:space="preserve">Facilitated transfer student orientation programming and served as a primary point of contact for incoming transfer students during their first academic year</w:t>
      </w:r>
    </w:p>
    <w:p>
      <w:pPr>
        <w:spacing w:before="0" w:after="0" w:line="276" w:lineRule="auto"/>
      </w:pPr>
      <w:r>
        <w:t> 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Private Academic Tutor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Palo Alto, CA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SAT/ACT and College Counselor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September 2021 – December 2023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Delivered individualized instruction in Reading, Writing, and Mathematics to high school students preparing for standardized college admissions exams</w:t>
      </w:r>
    </w:p>
    <w:p>
      <w:pPr>
        <w:pStyle w:val="Compact"/>
        <w:numPr>
          <w:ilvl w:val="0"/>
          <w:numId w:val="1003"/>
        </w:numPr>
      </w:pPr>
      <w:r>
        <w:t xml:space="preserve">Supported students through the college application process, providing feedback on personal essays and guidance on school selection and financial aid strategy</w:t>
      </w:r>
    </w:p>
    <w:p>
      <w:pPr>
        <w:spacing w:before="0" w:after="0" w:line="276" w:lineRule="auto"/>
      </w:pPr>
      <w:r>
        <w:t> </w:t>
      </w:r>
    </w:p>
    <w:tbl>
      <w:tblPr>
        <w:tblStyle w:val="Table"/>
        <w:tblW w:type="pct" w:w="10000"/>
        <w:tblLayout w:type="fixed"/>
        <w:tblLook w:firstRow="1" w:lastRow="0" w:firstColumn="0" w:lastColumn="0" w:noHBand="0" w:noVBand="0" w:val="0020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Hillside Charter School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Oakland, CA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10th Grade English Language Arts Teacher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August 2021 – June 2023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11th Grade Student Teacher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January 2021 – May 2021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Achieved highest year-over-year reading growth in the 10th grade cohort on district-wide literacy assessments; 71% of students met or exceeded grade-level benchmarks, exceeding the school average of 58%</w:t>
      </w:r>
    </w:p>
    <w:p>
      <w:pPr>
        <w:pStyle w:val="Compact"/>
        <w:numPr>
          <w:ilvl w:val="0"/>
          <w:numId w:val="1004"/>
        </w:numPr>
      </w:pPr>
      <w:r>
        <w:t xml:space="preserve">Designed standards-aligned units integrating social justice literature, student-produced journalism, and Socratic seminar to strengthen critical thinking and academic writing</w:t>
      </w:r>
    </w:p>
    <w:p>
      <w:pPr>
        <w:pStyle w:val="Compact"/>
        <w:numPr>
          <w:ilvl w:val="0"/>
          <w:numId w:val="1004"/>
        </w:numPr>
      </w:pPr>
      <w:r>
        <w:t xml:space="preserve">Analyzed formative assessment data weekly to drive differentiated small-group instruction and implement targeted reading intervention for below-grade-level learners</w:t>
      </w:r>
    </w:p>
    <w:p>
      <w:pPr>
        <w:pStyle w:val="Compact"/>
        <w:numPr>
          <w:ilvl w:val="0"/>
          <w:numId w:val="1004"/>
        </w:numPr>
      </w:pPr>
      <w:r>
        <w:t xml:space="preserve">Built strong family partnerships through biweekly progress updates and structured parent-teacher conferences, increasing family engagement by 34% over two years</w:t>
      </w:r>
    </w:p>
    <w:p>
      <w:pPr>
        <w:spacing w:before="0" w:after="0" w:line="276" w:lineRule="auto"/>
      </w:pPr>
      <w:r>
        <w:t> 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UNHCR Kenya – Kakuma Refugee Camp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Nairobi, Kenya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Education Program Intern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June 2018 – August 2018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Designed and delivered differentiated English and numeracy curricula for refugee learners ages 10–35 across five proficiency levels, using project-based learning, storytelling, and peer tutoring models</w:t>
      </w:r>
    </w:p>
    <w:p>
      <w:pPr>
        <w:pStyle w:val="Compact"/>
        <w:numPr>
          <w:ilvl w:val="0"/>
          <w:numId w:val="1005"/>
        </w:numPr>
      </w:pPr>
      <w:r>
        <w:t xml:space="preserve">Taught life skills and civic education to secondary students following Kenya’s national curriculum framework within the camp’s accredited primary schools</w:t>
      </w:r>
    </w:p>
    <w:p>
      <w:pPr>
        <w:pStyle w:val="Compact"/>
        <w:numPr>
          <w:ilvl w:val="0"/>
          <w:numId w:val="1005"/>
        </w:numPr>
      </w:pPr>
      <w:r>
        <w:t xml:space="preserve">Applied trauma-informed and culturally responsive instructional practices to support student engagement and psychological safety in a humanitarian learning environment</w:t>
      </w:r>
    </w:p>
    <w:p>
      <w:pPr>
        <w:spacing w:before="0" w:after="0" w:line="276" w:lineRule="auto"/>
      </w:pPr>
      <w:r>
        <w:t> 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Pathways to College – UC Davis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Davis, CA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Vice President and Peer Mentor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September 2015 – June 2019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Led mentorship initiatives serving under-resourced high schools in the Sacramento Valley, coordinating a network of 40 volunteer mentors and 120 high school mentees</w:t>
      </w:r>
    </w:p>
    <w:p>
      <w:pPr>
        <w:pStyle w:val="Compact"/>
        <w:numPr>
          <w:ilvl w:val="0"/>
          <w:numId w:val="1006"/>
        </w:numPr>
      </w:pPr>
      <w:r>
        <w:t xml:space="preserve">Designed and facilitated workshops for seniors on college application strategy, including personal statement writing, FAFSA completion, scholarship identification, and financial aid appeals</w:t>
      </w:r>
    </w:p>
    <w:p>
      <w:pPr>
        <w:pStyle w:val="Compact"/>
        <w:numPr>
          <w:ilvl w:val="0"/>
          <w:numId w:val="1006"/>
        </w:numPr>
      </w:pPr>
      <w:r>
        <w:t xml:space="preserve">Reviewed and provided structured feedback on personal statements and supplemental essays, supporting mentees in articulating their identities and goals to admissions committees</w:t>
      </w:r>
    </w:p>
    <w:p>
      <w:pPr>
        <w:pStyle w:val="Compact"/>
        <w:numPr>
          <w:ilvl w:val="0"/>
          <w:numId w:val="1006"/>
        </w:numPr>
      </w:pPr>
      <w:r>
        <w:t xml:space="preserve">Maintained yearlong one-on-one mentorship relationships, providing academic guidance and emotional support to first-generation college-going students throughout the application cycle</w:t>
      </w:r>
    </w:p>
    <w:bookmarkEnd w:id="23"/>
    <w:bookmarkStart w:id="24" w:name="leadership-and-community-service"/>
    <w:p>
      <w:pPr>
        <w:pStyle w:val="Heading1"/>
        <w:ind w:left="0" w:hanging="0"/>
        <w:spacing w:before="200" w:after="40" w:line="220" w:lineRule="auto"/>
      </w:pPr>
      <w:r>
        <w:t xml:space="preserve">LEADERSHIP AND COMMUNITY SERVICE</w:t>
      </w:r>
    </w:p>
    <w:tbl>
      <w:tblPr>
        <w:tblStyle w:val="Table"/>
        <w:tblW w:type="pct" w:w="10000"/>
        <w:tblLayout w:type="fixed"/>
        <w:tblLook w:firstRow="1" w:lastRow="0" w:firstColumn="0" w:lastColumn="0" w:noHBand="0" w:noVBand="0" w:val="0020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Bay Area Tutors Collective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San Jose, CA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Youth Programs – Outreach Coordinator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February 2023 – February 2024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Conducted community outreach through school partnerships, library tabling, and social media campaigns to connect under-resourced students with free tutoring services across Santa Clara County</w:t>
      </w:r>
    </w:p>
    <w:p>
      <w:pPr>
        <w:pStyle w:val="Compact"/>
        <w:numPr>
          <w:ilvl w:val="0"/>
          <w:numId w:val="1007"/>
        </w:numPr>
      </w:pPr>
      <w:r>
        <w:t xml:space="preserve">Coordinated volunteer tutor recruitment, onboarding, and training, growing the active volunteer roster from 28 to 74 tutors over ten months</w:t>
      </w:r>
    </w:p>
    <w:p>
      <w:pPr>
        <w:pStyle w:val="Compact"/>
        <w:numPr>
          <w:ilvl w:val="0"/>
          <w:numId w:val="1007"/>
        </w:numPr>
      </w:pPr>
      <w:r>
        <w:t xml:space="preserve">Designed and facilitated a six-week college readiness workshop series for 11th and 12th graders, covering essay writing, financial aid literacy, and campus visit preparation</w:t>
      </w:r>
    </w:p>
    <w:p>
      <w:pPr>
        <w:pStyle w:val="Compact"/>
        <w:numPr>
          <w:ilvl w:val="0"/>
          <w:numId w:val="1007"/>
        </w:numPr>
      </w:pPr>
      <w:r>
        <w:t xml:space="preserve">Tracked program outcomes using attendance logs and pre/post surveys, reporting aggregate impact data to funders and board members on a quarterly basis</w:t>
      </w:r>
    </w:p>
    <w:p>
      <w:pPr>
        <w:pStyle w:val="Compact"/>
        <w:numPr>
          <w:ilvl w:val="0"/>
          <w:numId w:val="1007"/>
        </w:numPr>
      </w:pPr>
      <w:r>
        <w:t xml:space="preserve">Completed certification in restorative practices and applied restorative circles to resolve conflicts within the volunteer community</w:t>
      </w:r>
    </w:p>
    <w:p>
      <w:pPr>
        <w:spacing w:before="0" w:after="0" w:line="276" w:lineRule="auto"/>
      </w:pPr>
      <w:r>
        <w:t> 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Filipino Student Union – Hillside Charter School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Oakland, CA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Faculty Advisor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September 2021 – June 2023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Facilitated biweekly after-school meetings centered on Filipino and Filipino-American history, cultural identity, and community advocacy</w:t>
      </w:r>
    </w:p>
    <w:p>
      <w:pPr>
        <w:pStyle w:val="Compact"/>
        <w:numPr>
          <w:ilvl w:val="0"/>
          <w:numId w:val="1008"/>
        </w:numPr>
      </w:pPr>
      <w:r>
        <w:t xml:space="preserve">Organized monthly themed programming spotlighting regional traditions, indigenous languages, and contemporary issues in the Filipino diaspora</w:t>
      </w:r>
    </w:p>
    <w:p>
      <w:pPr>
        <w:pStyle w:val="Compact"/>
        <w:numPr>
          <w:ilvl w:val="0"/>
          <w:numId w:val="1008"/>
        </w:numPr>
      </w:pPr>
      <w:r>
        <w:t xml:space="preserve">Led cross-cultural dialogue sessions in collaboration with the school’s Ethnic Studies department to broaden student understanding of shared struggles and intersecting identities</w:t>
      </w:r>
    </w:p>
    <w:p>
      <w:pPr>
        <w:pStyle w:val="Compact"/>
        <w:numPr>
          <w:ilvl w:val="0"/>
          <w:numId w:val="1008"/>
        </w:numPr>
      </w:pPr>
      <w:r>
        <w:t xml:space="preserve">Created a safe and affirming space for students navigating questions of cultural belonging, code-switching, and representation in predominantly non-Filipino academic environments</w:t>
      </w:r>
    </w:p>
    <w:p>
      <w:pPr>
        <w:spacing w:before="0" w:after="0" w:line="276" w:lineRule="auto"/>
      </w:pPr>
      <w:r>
        <w:t> </w:t>
      </w:r>
    </w:p>
    <w:tbl>
      <w:tblPr>
        <w:tblStyle w:val="Table"/>
        <w:tblW w:type="pct" w:w="10000"/>
        <w:tblLayout w:type="fixed"/>
        <w:tblLook w:firstRow="1" w:lastRow="0" w:firstColumn="0" w:lastColumn="0" w:noHBand="0" w:noVBand="0" w:val="0020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AmeriCorps – California Volunteers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Stockton, CA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Education and Workforce Readiness Intern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January 2020 – August 2020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Supported economic mobility programming for recently displaced workers by co-facilitating job readiness workshops covering resume writing, interview skills, and digital literacy</w:t>
      </w:r>
    </w:p>
    <w:p>
      <w:pPr>
        <w:pStyle w:val="Compact"/>
        <w:numPr>
          <w:ilvl w:val="0"/>
          <w:numId w:val="1009"/>
        </w:numPr>
      </w:pPr>
      <w:r>
        <w:t xml:space="preserve">Partnered with community college advisors to connect participants to retraining programs, GED pathways, and occupational certificate courses aligned with regional employer demand</w:t>
      </w:r>
    </w:p>
    <w:p>
      <w:pPr>
        <w:pStyle w:val="Compact"/>
        <w:numPr>
          <w:ilvl w:val="0"/>
          <w:numId w:val="1009"/>
        </w:numPr>
      </w:pPr>
      <w:r>
        <w:t xml:space="preserve">Developed plain-language educational materials for workshop handouts, resource guides, and social media outreach targeting low-literacy and non-English-speaking community members</w:t>
      </w:r>
    </w:p>
    <w:p>
      <w:pPr>
        <w:pStyle w:val="Compact"/>
        <w:numPr>
          <w:ilvl w:val="0"/>
          <w:numId w:val="1009"/>
        </w:numPr>
      </w:pPr>
      <w:r>
        <w:t xml:space="preserve">Designed and delivered an eight-session financial literacy curriculum for adults covering budgeting, credit building, and benefits enrollment</w:t>
      </w:r>
    </w:p>
    <w:p>
      <w:pPr>
        <w:pStyle w:val="Compact"/>
        <w:numPr>
          <w:ilvl w:val="0"/>
          <w:numId w:val="1009"/>
        </w:numPr>
      </w:pPr>
      <w:r>
        <w:t xml:space="preserve">Maintained participant case files and service logs in Salesforce, contributing to grant compliance reporting and quarterly outcome summaries</w:t>
      </w:r>
    </w:p>
    <w:p>
      <w:pPr>
        <w:spacing w:before="0" w:after="0" w:line="276" w:lineRule="auto"/>
      </w:pPr>
      <w:r>
        <w:t> 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Rising Scholars Summer Institute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Sacramento, CA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Program Content Manager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January 2019 – May 2019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Developed lesson plans, activity guides, and instructional materials for 120 students (ages 8–14) anchored in STEM, Creative Writing, and Civic Leadership themes</w:t>
      </w:r>
    </w:p>
    <w:p>
      <w:pPr>
        <w:pStyle w:val="Compact"/>
        <w:numPr>
          <w:ilvl w:val="0"/>
          <w:numId w:val="1010"/>
        </w:numPr>
      </w:pPr>
      <w:r>
        <w:t xml:space="preserve">Trained and supervised 52 camp counselors and activity leads in lesson delivery, youth development principles, and behavior management strategies</w:t>
      </w:r>
    </w:p>
    <w:p>
      <w:pPr>
        <w:pStyle w:val="Compact"/>
        <w:numPr>
          <w:ilvl w:val="0"/>
          <w:numId w:val="1010"/>
        </w:numPr>
      </w:pPr>
      <w:r>
        <w:t xml:space="preserve">Managed the program curriculum budget, sourcing cost-effective supplies and partnering with local businesses to secure in-kind donations of materials</w:t>
      </w:r>
    </w:p>
    <w:bookmarkEnd w:id="24"/>
    <w:sectPr>
      <w:pgSz w:h="15810" w:orient="portrait" w:w="12230"/>
      <w:pgMar w:bottom="280" w:footer="360" w:header="360" w:left="580" w:right="580" w:top="6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lang w:val="en"/>
      </w:rPr>
    </w:rPrDefault>
    <w:pPrDefault>
      <w:pPr>
        <w:widowControl w:val="0"/>
        <w:spacing w:line="220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pBdr>
        <w:bottom w:color="000000" w:space="1" w:sz="6" w:val="single"/>
      </w:pBdr>
      <w:spacing w:after="12" w:before="110" w:line="220" w:lineRule="auto"/>
      <w:ind w:left="140"/>
      <w:jc w:val="left"/>
    </w:pPr>
    <w:rPr>
      <w:rFonts w:ascii="Times New Roman" w:cs="Times New Roman" w:eastAsia="Times New Roman" w:hAnsi="Times New Roman"/>
      <w:b w:val="1"/>
      <w:bCs w:val="1"/>
      <w:smallCaps w:val="1"/>
      <w:sz w:val="20"/>
      <w:szCs w:val="20"/>
    </w:rPr>
  </w:style>
  <w:style w:styleId="Heading2" w:type="paragraph">
    <w:name w:val="heading 2"/>
    <w:basedOn w:val="Normal"/>
    <w:next w:val="Normal"/>
    <w:pPr>
      <w:spacing w:after="0" w:before="0" w:line="220" w:lineRule="auto"/>
      <w:ind w:left="145"/>
      <w:jc w:val="left"/>
    </w:pPr>
    <w:rPr>
      <w:rFonts w:ascii="Times New Roman" w:cs="Times New Roman" w:eastAsia="Times New Roman" w:hAnsi="Times New Roman"/>
      <w:b w:val="1"/>
      <w:bCs w:val="1"/>
      <w:sz w:val="20"/>
      <w:szCs w:val="20"/>
    </w:rPr>
  </w:style>
  <w:style w:styleId="Heading3" w:type="paragraph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styleId="Heading6" w:type="paragraph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styleId="Title" w:type="paragraph">
    <w:name w:val="Title"/>
    <w:basedOn w:val="Normal"/>
    <w:next w:val="Normal"/>
    <w:pPr>
      <w:spacing w:before="70" w:lineRule="auto"/>
      <w:jc w:val="center"/>
    </w:pPr>
    <w:rPr>
      <w:b w:val="1"/>
      <w:bCs w:val="1"/>
      <w:sz w:val="28"/>
      <w:szCs w:val="28"/>
    </w:rPr>
  </w:style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  <w:rPr>
      <w:rFonts w:ascii="Times New Roman" w:cs="Times New Roman" w:eastAsia="Times New Roman" w:hAnsi="Times New Roman"/>
      <w:sz w:val="20"/>
      <w:szCs w:val="20"/>
    </w:rPr>
  </w:style>
  <w:style w:default="1" w:styleId="DefaultParagraphFont" w:type="character">
    <w:name w:val="Default Paragraph Font"/>
    <w:uiPriority w:val="1"/>
    <w:semiHidden w:val="1"/>
    <w:unhideWhenUsed w:val="1"/>
  </w:style>
  <w:style w:default="1" w:styleId="TableNormal" w:type="table">
    <w:name w:val="Normal Table"/>
    <w:uiPriority w:val="99"/>
    <w:semiHidden w:val="1"/>
    <w:unhideWhenUsed w:val="1"/>
    <w:tblPr>
      <w:tblInd w:type="dxa" w:w="0.0"/>
      <w:tblCellMar>
        <w:top w:type="dxa" w:w="0.0"/>
        <w:left w:type="dxa" w:w="108.0"/>
        <w:bottom w:type="dxa" w:w="0.0"/>
        <w:right w:type="dxa" w:w="108.0"/>
      </w:tblCellMar>
    </w:tblPr>
  </w:style>
  <w:style w:default="1" w:styleId="NoList" w:type="numbering">
    <w:name w:val="No List"/>
    <w:uiPriority w:val="99"/>
    <w:semiHidden w:val="1"/>
    <w:unhideWhenUsed w:val="1"/>
  </w:style>
  <w:style w:customStyle="1" w:styleId="TableNormal0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customStyle="1" w:styleId="TableNormal1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styleId="BodyText" w:type="paragraph">
    <w:name w:val="Body Text"/>
    <w:basedOn w:val="Normal"/>
    <w:uiPriority w:val="1"/>
    <w:qFormat w:val="1"/>
    <w:pPr>
      <w:spacing w:after="0" w:before="0" w:line="220" w:lineRule="auto"/>
      <w:ind w:left="0"/>
      <w:jc w:val="left"/>
    </w:pPr>
    <w:rPr>
      <w:rFonts w:ascii="Times New Roman" w:cs="Times New Roman" w:eastAsia="Times New Roman" w:hAnsi="Times New Roman"/>
      <w:sz w:val="20"/>
      <w:szCs w:val="20"/>
      <w:lang w:val="en-US"/>
    </w:rPr>
  </w:style>
  <w:style w:styleId="ListParagraph" w:type="paragraph">
    <w:name w:val="List Paragraph"/>
    <w:basedOn w:val="Normal"/>
    <w:uiPriority w:val="1"/>
    <w:qFormat w:val="1"/>
    <w:pPr>
      <w:spacing w:line="244" w:lineRule="exact"/>
      <w:ind w:hanging="252" w:left="920"/>
    </w:pPr>
    <w:rPr>
      <w:lang w:val="en-US"/>
    </w:rPr>
  </w:style>
  <w:style w:customStyle="1" w:styleId="TableParagraph" w:type="paragraph">
    <w:name w:val="Table Paragraph"/>
    <w:basedOn w:val="Normal"/>
    <w:uiPriority w:val="1"/>
    <w:qFormat w:val="1"/>
    <w:rPr>
      <w:lang w:val="en-US"/>
    </w:rPr>
  </w:style>
  <w:style w:customStyle="1" w:styleId="Compact" w:type="paragraph">
    <w:name w:val="Compact"/>
    <w:pPr>
      <w:spacing w:after="0" w:before="0" w:line="220" w:lineRule="auto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Heading1Char" w:type="character">
    <w:name w:val="Heading1Char"/>
    <w:rPr>
      <w:rFonts w:ascii="Times New Roman" w:cs="Times New Roman" w:eastAsia="Times New Roman" w:hAnsi="Times New Roman"/>
      <w:b w:val="1"/>
      <w:bCs w:val="1"/>
      <w:caps w:val="1"/>
      <w:sz w:val="20"/>
      <w:szCs w:val="20"/>
    </w:rPr>
  </w:style>
  <w:style w:customStyle="1" w:styleId="Heading2Char" w:type="character">
    <w:name w:val="Heading2Char"/>
    <w:rPr>
      <w:rFonts w:ascii="Times New Roman" w:cs="Times New Roman" w:eastAsia="Times New Roman" w:hAnsi="Times New Roman"/>
      <w:b w:val="1"/>
      <w:bCs w:val="1"/>
      <w:sz w:val="20"/>
      <w:szCs w:val="20"/>
    </w:rPr>
  </w:style>
  <w:style w:customStyle="1" w:styleId="ResumeName" w:type="paragraph">
    <w:name w:val="ResumeName"/>
    <w:basedOn w:val="Normal"/>
    <w:pPr>
      <w:spacing w:after="15" w:before="40" w:line="240" w:lineRule="auto"/>
      <w:jc w:val="center"/>
    </w:pPr>
    <w:rPr>
      <w:rFonts w:ascii="Times New Roman" w:cs="Times New Roman" w:eastAsia="Times New Roman" w:hAnsi="Times New Roman"/>
      <w:b w:val="1"/>
      <w:bCs w:val="1"/>
      <w:sz w:val="32"/>
      <w:szCs w:val="32"/>
    </w:rPr>
  </w:style>
  <w:style w:customStyle="1" w:styleId="ResumeContact" w:type="paragraph">
    <w:name w:val="ResumeContact"/>
    <w:basedOn w:val="Normal"/>
    <w:pPr>
      <w:spacing w:after="50" w:before="0" w:line="220" w:lineRule="auto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Hyperlink" w:type="character">
    <w:name w:val="Hyperlink"/>
    <w:rPr>
      <w:color w:val="0000ff"/>
      <w:u w:val="none"/>
    </w:rPr>
  </w:style>
  <w:style w:customStyle="1" w:styleId="Table" w:type="table">
    <w:name w:val="Table"/>
    <w:tblPr>
      <w:tblCellMar>
        <w:top w:type="dxa" w:w="0.0"/>
        <w:left w:type="dxa" w:w="24.0"/>
        <w:bottom w:type="dxa" w:w="0.0"/>
        <w:right w:type="dxa" w:w="24.0"/>
      </w:tblCellMar>
    </w:tblPr>
  </w:style>
  <w:style w:customStyle="1" w:styleId="SourceCode" w:type="paragraph">
    <w:name w:val="Source Code"/>
    <w:basedOn w:val="Normal"/>
    <w:link w:val="VerbatimChar"/>
    <w:pPr>
      <w:shd w:fill="f1f3f5" w:val="clear"/>
      <w:wordWrap w:val="0"/>
    </w:pPr>
  </w:style>
  <w:style w:customStyle="1" w:styleId="KeywordTok" w:type="character">
    <w:name w:val="KeywordTok"/>
    <w:basedOn w:val="VerbatimChar"/>
    <w:rPr>
      <w:b w:val="1"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 w:val="1"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 w:val="1"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 w:val="1"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 w:val="1"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  <w:style w:styleId="Subtitle" w:type="paragraph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styleId="Table1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2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3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4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5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6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7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8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9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10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11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12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www.linkedin.com/in/jordan-steele-watson" TargetMode="External" /><Relationship Type="http://schemas.openxmlformats.org/officeDocument/2006/relationships/hyperlink" Id="rId20" Target="mailto:jordan.steelew@gmail.com" TargetMode="External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linkedin.com/in/jordan-steele-watson" TargetMode="External" /><Relationship Type="http://schemas.openxmlformats.org/officeDocument/2006/relationships/hyperlink" Id="rId20" Target="mailto:jordan.steelew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2026-03-05T22:49:29Z</dcterms:created>
  <dcterms:modified xsi:type="dcterms:W3CDTF">2026-03-05T22:49:29Z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