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All</w:t>
      </w:r>
      <w:r>
        <w:t xml:space="preserve"> </w:t>
      </w:r>
      <w:r>
        <w:t xml:space="preserve">Women</w:t>
      </w:r>
      <w:r>
        <w:t xml:space="preserve"> </w:t>
      </w:r>
      <w:r>
        <w:t xml:space="preserve">Shortlists</w:t>
      </w:r>
      <w:r>
        <w:t xml:space="preserve"> </w:t>
      </w:r>
      <w:r>
        <w:t xml:space="preserve">Methodology</w:t>
      </w:r>
    </w:p>
    <w:p>
      <w:pPr>
        <w:pStyle w:val="SourceCode"/>
      </w:pPr>
      <w:r>
        <w:rPr>
          <w:rStyle w:val="KeywordTok"/>
        </w:rPr>
        <w:t xml:space="preserve">library</w:t>
      </w:r>
      <w:r>
        <w:rPr>
          <w:rStyle w:val="NormalTok"/>
        </w:rPr>
        <w:t xml:space="preserve">(knitr)</w:t>
      </w:r>
      <w:r>
        <w:br w:type="textWrapping"/>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echo =</w:t>
      </w:r>
      <w:r>
        <w:rPr>
          <w:rStyle w:val="NormalTok"/>
        </w:rPr>
        <w:t xml:space="preserve"> </w:t>
      </w:r>
      <w:r>
        <w:rPr>
          <w:rStyle w:val="OtherTok"/>
        </w:rPr>
        <w:t xml:space="preserve">FALSE</w:t>
      </w:r>
      <w:r>
        <w:rPr>
          <w:rStyle w:val="NormalTok"/>
        </w:rPr>
        <w:t xml:space="preserve">, </w:t>
      </w:r>
      <w:r>
        <w:rPr>
          <w:rStyle w:val="DataTypeTok"/>
        </w:rPr>
        <w:t xml:space="preserve">eval=</w:t>
      </w:r>
      <w:r>
        <w:rPr>
          <w:rStyle w:val="OtherTok"/>
        </w:rPr>
        <w:t xml:space="preserve">FALSE</w:t>
      </w:r>
      <w:r>
        <w:rPr>
          <w:rStyle w:val="NormalTok"/>
        </w:rPr>
        <w:t xml:space="preserve">, </w:t>
      </w:r>
      <w:r>
        <w:rPr>
          <w:rStyle w:val="DataTypeTok"/>
        </w:rPr>
        <w:t xml:space="preserve">include=</w:t>
      </w:r>
      <w:r>
        <w:rPr>
          <w:rStyle w:val="OtherTok"/>
        </w:rPr>
        <w:t xml:space="preserve">FALSE</w:t>
      </w:r>
      <w:r>
        <w:rPr>
          <w:rStyle w:val="NormalTok"/>
        </w:rPr>
        <w:t xml:space="preserve">)</w:t>
      </w:r>
    </w:p>
    <w:p>
      <w:pPr>
        <w:pStyle w:val="Heading1"/>
      </w:pPr>
      <w:bookmarkStart w:id="20" w:name="methodology"/>
      <w:r>
        <w:t xml:space="preserve">Methodology</w:t>
      </w:r>
      <w:bookmarkEnd w:id="20"/>
    </w:p>
    <w:p>
      <w:pPr>
        <w:pStyle w:val="FirstParagraph"/>
      </w:pPr>
      <w:r>
        <w:t xml:space="preserve">To account for the possible effects of age, parliamentary experience and cohort, and in order to compare women selected through all women shortlists to women who were not (but theoretically had the possibility to contest all-women shortlists), speech analysis has been restricted only to Labour MPs elected during or after the 1997 General Election, and before the 2017 General Election. Words contained in parentheses were removed, as they are added by Hansard to provide additional information not actually spoken by the MP.</w:t>
      </w:r>
      <w:r>
        <w:rPr>
          <w:rStyle w:val="FootnoteReference"/>
        </w:rPr>
        <w:footnoteReference w:id="21"/>
      </w:r>
      <w:r>
        <w:t xml:space="preserve"> </w:t>
      </w:r>
      <w:r>
        <w:t xml:space="preserve">Speeches and MP data is from a dataset previously assembled by Odell</w:t>
      </w:r>
      <w:r>
        <w:t xml:space="preserve"> </w:t>
      </w:r>
      <w:r>
        <w:t xml:space="preserve">(</w:t>
      </w:r>
      <w:hyperlink w:anchor="ref-odell2018">
        <w:r>
          <w:rPr>
            <w:rStyle w:val="Hyperlink"/>
          </w:rPr>
          <w:t xml:space="preserve">2018</w:t>
        </w:r>
      </w:hyperlink>
      <w:r>
        <w:t xml:space="preserve">)</w:t>
      </w:r>
      <w:r>
        <w:t xml:space="preserve">. Information on all women shortlists is from House of Commons Library</w:t>
      </w:r>
      <w:r>
        <w:t xml:space="preserve"> </w:t>
      </w:r>
      <w:r>
        <w:t xml:space="preserve">(Kelly</w:t>
      </w:r>
      <w:r>
        <w:t xml:space="preserve"> </w:t>
      </w:r>
      <w:hyperlink w:anchor="ref-kelly2016">
        <w:r>
          <w:rPr>
            <w:rStyle w:val="Hyperlink"/>
          </w:rPr>
          <w:t xml:space="preserve">2016</w:t>
        </w:r>
      </w:hyperlink>
      <w:r>
        <w:t xml:space="preserve">)</w:t>
      </w:r>
      <w:r>
        <w:t xml:space="preserve">. Unsuccessful General Election candidates selected through all women shortlists who were subsequently elected in a byelection are classified as having been selected on an all women shortlist.</w:t>
      </w:r>
    </w:p>
    <w:p>
      <w:pPr>
        <w:pStyle w:val="BodyText"/>
      </w:pPr>
      <w:r>
        <w:t xml:space="preserve">Word classification used the</w:t>
      </w:r>
      <w:r>
        <w:t xml:space="preserve"> </w:t>
      </w:r>
      <w:r>
        <w:rPr>
          <w:rStyle w:val="VerbatimChar"/>
        </w:rPr>
        <w:t xml:space="preserve">Linguistic Inquiry and Word Count 2015</w:t>
      </w:r>
      <w:r>
        <w:t xml:space="preserve"> </w:t>
      </w:r>
      <w:r>
        <w:t xml:space="preserve">(LIWC) dictionary</w:t>
      </w:r>
      <w:r>
        <w:t xml:space="preserve"> </w:t>
      </w:r>
      <w:r>
        <w:t xml:space="preserve">(Pennebaker et al.</w:t>
      </w:r>
      <w:r>
        <w:t xml:space="preserve"> </w:t>
      </w:r>
      <w:hyperlink w:anchor="ref-pennebaker2015">
        <w:r>
          <w:rPr>
            <w:rStyle w:val="Hyperlink"/>
          </w:rPr>
          <w:t xml:space="preserve">2015</w:t>
        </w:r>
      </w:hyperlink>
      <w:r>
        <w:t xml:space="preserve">)</w:t>
      </w:r>
      <w:r>
        <w:t xml:space="preserve"> </w:t>
      </w:r>
      <w:r>
        <w:t xml:space="preserve">and tokenising tools from the</w:t>
      </w:r>
      <w:r>
        <w:t xml:space="preserve"> </w:t>
      </w:r>
      <w:r>
        <w:rPr>
          <w:rStyle w:val="VerbatimChar"/>
        </w:rPr>
        <w:t xml:space="preserve">Quanteda</w:t>
      </w:r>
      <w:r>
        <w:t xml:space="preserve"> </w:t>
      </w:r>
      <w:r>
        <w:t xml:space="preserve">R package</w:t>
      </w:r>
      <w:r>
        <w:t xml:space="preserve"> </w:t>
      </w:r>
      <w:r>
        <w:t xml:space="preserve">(Benoit</w:t>
      </w:r>
      <w:r>
        <w:t xml:space="preserve"> </w:t>
      </w:r>
      <w:hyperlink w:anchor="ref-benoit2018">
        <w:r>
          <w:rPr>
            <w:rStyle w:val="Hyperlink"/>
          </w:rPr>
          <w:t xml:space="preserve">2018</w:t>
        </w:r>
      </w:hyperlink>
      <w:r>
        <w:t xml:space="preserve">)</w:t>
      </w:r>
      <w:r>
        <w:t xml:space="preserve">. Word counts and words-per-sentence were calculated using</w:t>
      </w:r>
      <w:r>
        <w:t xml:space="preserve"> </w:t>
      </w:r>
      <w:r>
        <w:rPr>
          <w:rStyle w:val="VerbatimChar"/>
        </w:rPr>
        <w:t xml:space="preserve">stringi</w:t>
      </w:r>
      <w:r>
        <w:t xml:space="preserve">, a wrapper to the ICU regex library. [NEED CITATIONS!!!]</w:t>
      </w:r>
    </w:p>
    <w:p>
      <w:pPr>
        <w:pStyle w:val="BodyText"/>
      </w:pPr>
      <w:r>
        <w:t xml:space="preserve">Previous research has found gender differences in some LIWC categories and in parts of speech usage in members of the US House of Representatives</w:t>
      </w:r>
      <w:r>
        <w:t xml:space="preserve"> </w:t>
      </w:r>
      <w:r>
        <w:t xml:space="preserve">(Yu</w:t>
      </w:r>
      <w:r>
        <w:t xml:space="preserve"> </w:t>
      </w:r>
      <w:hyperlink w:anchor="ref-yu2014">
        <w:r>
          <w:rPr>
            <w:rStyle w:val="Hyperlink"/>
          </w:rPr>
          <w:t xml:space="preserve">2014</w:t>
        </w:r>
      </w:hyperlink>
      <w:r>
        <w:t xml:space="preserve">)</w:t>
      </w:r>
      <w:r>
        <w:t xml:space="preserve">. Following YU</w:t>
      </w:r>
      <w:r>
        <w:t xml:space="preserve"> </w:t>
      </w:r>
      <w:r>
        <w:t xml:space="preserve">(</w:t>
      </w:r>
      <w:hyperlink w:anchor="ref-yu2014">
        <w:r>
          <w:rPr>
            <w:rStyle w:val="Hyperlink"/>
          </w:rPr>
          <w:t xml:space="preserve">2014</w:t>
        </w:r>
      </w:hyperlink>
      <w:r>
        <w:t xml:space="preserve">)</w:t>
      </w:r>
      <w:r>
        <w:t xml:space="preserve">, we used the following categories</w:t>
      </w:r>
    </w:p>
    <w:p>
      <w:pPr>
        <w:pStyle w:val="Compact"/>
        <w:numPr>
          <w:numId w:val="1001"/>
          <w:ilvl w:val="0"/>
        </w:numPr>
      </w:pPr>
      <w:r>
        <w:t xml:space="preserve">All Pronouns (pronoun)</w:t>
      </w:r>
    </w:p>
    <w:p>
      <w:pPr>
        <w:pStyle w:val="Compact"/>
        <w:numPr>
          <w:numId w:val="1001"/>
          <w:ilvl w:val="0"/>
        </w:numPr>
      </w:pPr>
      <w:r>
        <w:t xml:space="preserve">First person singular pronouns (i)</w:t>
      </w:r>
    </w:p>
    <w:p>
      <w:pPr>
        <w:pStyle w:val="Compact"/>
        <w:numPr>
          <w:numId w:val="1001"/>
          <w:ilvl w:val="0"/>
        </w:numPr>
      </w:pPr>
      <w:r>
        <w:t xml:space="preserve">Verbs (verb)</w:t>
      </w:r>
    </w:p>
    <w:p>
      <w:pPr>
        <w:pStyle w:val="Compact"/>
        <w:numPr>
          <w:numId w:val="1001"/>
          <w:ilvl w:val="0"/>
        </w:numPr>
      </w:pPr>
      <w:r>
        <w:t xml:space="preserve">Auxiliary verbs (auxverb)</w:t>
      </w:r>
    </w:p>
    <w:p>
      <w:pPr>
        <w:pStyle w:val="Compact"/>
        <w:numPr>
          <w:numId w:val="1001"/>
          <w:ilvl w:val="0"/>
        </w:numPr>
      </w:pPr>
      <w:r>
        <w:t xml:space="preserve">Social processes (social)</w:t>
      </w:r>
    </w:p>
    <w:p>
      <w:pPr>
        <w:pStyle w:val="Compact"/>
        <w:numPr>
          <w:numId w:val="1001"/>
          <w:ilvl w:val="0"/>
        </w:numPr>
      </w:pPr>
      <w:r>
        <w:t xml:space="preserve">Positive emotions (posemo)</w:t>
      </w:r>
    </w:p>
    <w:p>
      <w:pPr>
        <w:pStyle w:val="Compact"/>
        <w:numPr>
          <w:numId w:val="1001"/>
          <w:ilvl w:val="0"/>
        </w:numPr>
      </w:pPr>
      <w:r>
        <w:t xml:space="preserve">Negative emotions (negemo)</w:t>
      </w:r>
    </w:p>
    <w:p>
      <w:pPr>
        <w:pStyle w:val="Compact"/>
        <w:numPr>
          <w:numId w:val="1001"/>
          <w:ilvl w:val="0"/>
        </w:numPr>
      </w:pPr>
      <w:r>
        <w:t xml:space="preserve">Tentative words (tentat)</w:t>
      </w:r>
    </w:p>
    <w:p>
      <w:pPr>
        <w:pStyle w:val="Compact"/>
        <w:numPr>
          <w:numId w:val="1002"/>
          <w:ilvl w:val="0"/>
        </w:numPr>
      </w:pPr>
      <w:r>
        <w:t xml:space="preserve">Words longer than six letters (Sixltr)</w:t>
      </w:r>
    </w:p>
    <w:p>
      <w:pPr>
        <w:pStyle w:val="Compact"/>
        <w:numPr>
          <w:numId w:val="1002"/>
          <w:ilvl w:val="0"/>
        </w:numPr>
      </w:pPr>
      <w:r>
        <w:t xml:space="preserve">First person plural pronouns (we)</w:t>
      </w:r>
    </w:p>
    <w:p>
      <w:pPr>
        <w:pStyle w:val="Compact"/>
        <w:numPr>
          <w:numId w:val="1002"/>
          <w:ilvl w:val="0"/>
        </w:numPr>
      </w:pPr>
      <w:r>
        <w:t xml:space="preserve">Articles (article)</w:t>
      </w:r>
    </w:p>
    <w:p>
      <w:pPr>
        <w:pStyle w:val="Compact"/>
        <w:numPr>
          <w:numId w:val="1002"/>
          <w:ilvl w:val="0"/>
        </w:numPr>
      </w:pPr>
      <w:r>
        <w:t xml:space="preserve">Prepositions (preps)</w:t>
      </w:r>
    </w:p>
    <w:p>
      <w:pPr>
        <w:pStyle w:val="Compact"/>
        <w:numPr>
          <w:numId w:val="1002"/>
          <w:ilvl w:val="0"/>
        </w:numPr>
      </w:pPr>
      <w:r>
        <w:t xml:space="preserve">Anger words (anger)</w:t>
      </w:r>
    </w:p>
    <w:p>
      <w:pPr>
        <w:pStyle w:val="Compact"/>
        <w:numPr>
          <w:numId w:val="1002"/>
          <w:ilvl w:val="0"/>
        </w:numPr>
      </w:pPr>
      <w:r>
        <w:t xml:space="preserve">Swear words (swear)</w:t>
      </w:r>
    </w:p>
    <w:p>
      <w:pPr>
        <w:pStyle w:val="Compact"/>
        <w:numPr>
          <w:numId w:val="1002"/>
          <w:ilvl w:val="0"/>
        </w:numPr>
      </w:pPr>
      <w:r>
        <w:t xml:space="preserve">Cognitive processes (cogproc)</w:t>
      </w:r>
    </w:p>
    <w:p>
      <w:pPr>
        <w:pStyle w:val="FirstParagraph"/>
      </w:pPr>
      <w:r>
        <w:t xml:space="preserve">We also included words-per-sentence (WPS), total word count (WC) and Flesch–Kincaid grade level (FK)</w:t>
      </w:r>
      <w:r>
        <w:t xml:space="preserve"> </w:t>
      </w:r>
      <w:r>
        <w:t xml:space="preserve">(Kincaid et al.</w:t>
      </w:r>
      <w:r>
        <w:t xml:space="preserve"> </w:t>
      </w:r>
      <w:hyperlink w:anchor="ref-kincaid1975">
        <w:r>
          <w:rPr>
            <w:rStyle w:val="Hyperlink"/>
          </w:rPr>
          <w:t xml:space="preserve">1975</w:t>
        </w:r>
      </w:hyperlink>
      <w:r>
        <w:t xml:space="preserve">)</w:t>
      </w:r>
      <w:r>
        <w:t xml:space="preserve">,</w:t>
      </w:r>
      <w:r>
        <w:t xml:space="preserve"> </w:t>
      </w:r>
      <w:r>
        <w:t xml:space="preserve"> </w:t>
      </w:r>
      <w:r>
        <w:t xml:space="preserve">calculated using</w:t>
      </w:r>
      <w:r>
        <w:t xml:space="preserve"> </w:t>
      </w:r>
      <w:r>
        <w:rPr>
          <w:rStyle w:val="VerbatimChar"/>
        </w:rPr>
        <w:t xml:space="preserve">Quanteda</w:t>
      </w:r>
      <w:r>
        <w:t xml:space="preserve"> </w:t>
      </w:r>
      <w:r>
        <w:t xml:space="preserve">(Benoit</w:t>
      </w:r>
      <w:r>
        <w:t xml:space="preserve"> </w:t>
      </w:r>
      <w:hyperlink w:anchor="ref-benoit2018">
        <w:r>
          <w:rPr>
            <w:rStyle w:val="Hyperlink"/>
          </w:rPr>
          <w:t xml:space="preserve">2018</w:t>
        </w:r>
      </w:hyperlink>
      <w:r>
        <w:t xml:space="preserve">)</w:t>
      </w:r>
      <w:r>
        <w:t xml:space="preserve">[, and some measure of LEXICAL DIVERSITY???]</w:t>
      </w:r>
    </w:p>
    <w:p>
      <w:pPr>
        <w:pStyle w:val="BodyText"/>
      </w:pPr>
      <w:r>
        <w:t xml:space="preserve">!CHECK UP ON NAZ SHAH, MAKE SURE SHE ALWAYS COUNTS AS LABOUR</w:t>
      </w:r>
    </w:p>
    <w:p>
      <w:pPr>
        <w:pStyle w:val="Heading2"/>
      </w:pPr>
      <w:bookmarkStart w:id="22" w:name="corpus-creation"/>
      <w:r>
        <w:t xml:space="preserve">Corpus creation</w:t>
      </w:r>
      <w:bookmarkEnd w:id="22"/>
    </w:p>
    <w:p>
      <w:pPr>
        <w:pStyle w:val="Heading1"/>
      </w:pPr>
      <w:bookmarkStart w:id="23" w:name="descriptive-statistics"/>
      <w:r>
        <w:t xml:space="preserve">Descriptive Statistics</w:t>
      </w:r>
      <w:bookmarkEnd w:id="23"/>
    </w:p>
    <w:tbl>
      <w:tblPr>
        <w:tblStyle w:val="Table"/>
        <w:tblW w:type="pct" w:w="4999.999999999999"/>
        <w:tblLook w:firstRow="1"/>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General Election</w:t>
            </w:r>
          </w:p>
        </w:tc>
        <w:tc>
          <w:tcPr>
            <w:tcBorders>
              <w:bottom w:val="single"/>
            </w:tcBorders>
            <w:vAlign w:val="bottom"/>
          </w:tcPr>
          <w:p>
            <w:pPr>
              <w:pStyle w:val="Compact"/>
              <w:jc w:val="left"/>
            </w:pPr>
            <w:r>
              <w:t xml:space="preserve">Total MPs</w:t>
            </w:r>
          </w:p>
        </w:tc>
        <w:tc>
          <w:tcPr>
            <w:tcBorders>
              <w:bottom w:val="single"/>
            </w:tcBorders>
            <w:vAlign w:val="bottom"/>
          </w:tcPr>
          <w:p>
            <w:pPr>
              <w:pStyle w:val="Compact"/>
              <w:jc w:val="left"/>
            </w:pPr>
            <w:r>
              <w:t xml:space="preserve">Total Labour MPs</w:t>
            </w:r>
          </w:p>
        </w:tc>
        <w:tc>
          <w:tcPr>
            <w:tcBorders>
              <w:bottom w:val="single"/>
            </w:tcBorders>
            <w:vAlign w:val="bottom"/>
          </w:tcPr>
          <w:p>
            <w:pPr>
              <w:pStyle w:val="Compact"/>
              <w:jc w:val="left"/>
            </w:pPr>
            <w:r>
              <w:t xml:space="preserve">Total Female Labour MPs</w:t>
            </w:r>
          </w:p>
        </w:tc>
        <w:tc>
          <w:tcPr>
            <w:tcBorders>
              <w:bottom w:val="single"/>
            </w:tcBorders>
            <w:vAlign w:val="bottom"/>
          </w:tcPr>
          <w:p>
            <w:pPr>
              <w:pStyle w:val="Compact"/>
              <w:jc w:val="left"/>
            </w:pPr>
            <w:r>
              <w:t xml:space="preserve">Newly elected MPs</w:t>
            </w:r>
          </w:p>
        </w:tc>
        <w:tc>
          <w:tcPr>
            <w:tcBorders>
              <w:bottom w:val="single"/>
            </w:tcBorders>
            <w:vAlign w:val="bottom"/>
          </w:tcPr>
          <w:p>
            <w:pPr>
              <w:pStyle w:val="Compact"/>
              <w:jc w:val="left"/>
            </w:pPr>
            <w:r>
              <w:t xml:space="preserve">Intake Women</w:t>
            </w:r>
          </w:p>
        </w:tc>
        <w:tc>
          <w:tcPr>
            <w:tcBorders>
              <w:bottom w:val="single"/>
            </w:tcBorders>
            <w:vAlign w:val="bottom"/>
          </w:tcPr>
          <w:p>
            <w:pPr>
              <w:pStyle w:val="Compact"/>
              <w:jc w:val="left"/>
            </w:pPr>
            <w:r>
              <w:t xml:space="preserve">Percentage Intake Women</w:t>
            </w:r>
          </w:p>
        </w:tc>
        <w:tc>
          <w:tcPr>
            <w:tcBorders>
              <w:bottom w:val="single"/>
            </w:tcBorders>
            <w:vAlign w:val="bottom"/>
          </w:tcPr>
          <w:p>
            <w:pPr>
              <w:pStyle w:val="Compact"/>
              <w:jc w:val="left"/>
            </w:pPr>
            <w:r>
              <w:t xml:space="preserve">Intake Shortlist</w:t>
            </w:r>
          </w:p>
        </w:tc>
        <w:tc>
          <w:tcPr>
            <w:tcBorders>
              <w:bottom w:val="single"/>
            </w:tcBorders>
            <w:vAlign w:val="bottom"/>
          </w:tcPr>
          <w:p>
            <w:pPr>
              <w:pStyle w:val="Compact"/>
              <w:jc w:val="left"/>
            </w:pPr>
            <w:r>
              <w:t xml:space="preserve">Nominated Shortlist</w:t>
            </w:r>
          </w:p>
        </w:tc>
        <w:tc>
          <w:tcPr>
            <w:tcBorders>
              <w:bottom w:val="single"/>
            </w:tcBorders>
            <w:vAlign w:val="bottom"/>
          </w:tcPr>
          <w:p>
            <w:pPr>
              <w:pStyle w:val="Compact"/>
            </w:pPr>
          </w:p>
        </w:tc>
      </w:tr>
      <w:tr>
        <w:tc>
          <w:p>
            <w:pPr>
              <w:pStyle w:val="Compact"/>
              <w:jc w:val="left"/>
            </w:pPr>
            <w:r>
              <w:t xml:space="preserve">1997</w:t>
            </w:r>
          </w:p>
        </w:tc>
        <w:tc>
          <w:p>
            <w:pPr>
              <w:pStyle w:val="Compact"/>
              <w:jc w:val="left"/>
            </w:pPr>
            <w:r>
              <w:t xml:space="preserve">659</w:t>
            </w:r>
          </w:p>
        </w:tc>
        <w:tc>
          <w:p>
            <w:pPr>
              <w:pStyle w:val="Compact"/>
              <w:jc w:val="left"/>
            </w:pPr>
            <w:r>
              <w:t xml:space="preserve">418</w:t>
            </w:r>
          </w:p>
        </w:tc>
        <w:tc>
          <w:p>
            <w:pPr>
              <w:pStyle w:val="Compact"/>
              <w:jc w:val="left"/>
            </w:pPr>
            <w:r>
              <w:t xml:space="preserve">101</w:t>
            </w:r>
          </w:p>
        </w:tc>
        <w:tc>
          <w:p>
            <w:pPr>
              <w:pStyle w:val="Compact"/>
              <w:jc w:val="left"/>
            </w:pPr>
            <w:r>
              <w:t xml:space="preserve">177</w:t>
            </w:r>
          </w:p>
        </w:tc>
        <w:tc>
          <w:p>
            <w:pPr>
              <w:pStyle w:val="Compact"/>
              <w:jc w:val="left"/>
            </w:pPr>
            <w:r>
              <w:t xml:space="preserve">64</w:t>
            </w:r>
          </w:p>
        </w:tc>
        <w:tc>
          <w:p>
            <w:pPr>
              <w:pStyle w:val="Compact"/>
              <w:jc w:val="left"/>
            </w:pPr>
            <w:r>
              <w:t xml:space="preserve">36%</w:t>
            </w:r>
          </w:p>
        </w:tc>
        <w:tc>
          <w:p>
            <w:pPr>
              <w:pStyle w:val="Compact"/>
              <w:jc w:val="left"/>
            </w:pPr>
            <w:r>
              <w:t xml:space="preserve">35</w:t>
            </w:r>
          </w:p>
        </w:tc>
        <w:tc>
          <w:p>
            <w:pPr>
              <w:pStyle w:val="Compact"/>
              <w:jc w:val="left"/>
            </w:pPr>
            <w:r>
              <w:t xml:space="preserve">38</w:t>
            </w:r>
          </w:p>
        </w:tc>
        <w:tc>
          <w:p>
            <w:pPr>
              <w:pStyle w:val="Compact"/>
            </w:pPr>
          </w:p>
        </w:tc>
      </w:tr>
      <w:tr>
        <w:tc>
          <w:p>
            <w:pPr>
              <w:pStyle w:val="Compact"/>
              <w:jc w:val="left"/>
            </w:pPr>
            <w:r>
              <w:t xml:space="preserve">2001</w:t>
            </w:r>
          </w:p>
        </w:tc>
        <w:tc>
          <w:p>
            <w:pPr>
              <w:pStyle w:val="Compact"/>
              <w:jc w:val="left"/>
            </w:pPr>
            <w:r>
              <w:t xml:space="preserve">659</w:t>
            </w:r>
          </w:p>
        </w:tc>
        <w:tc>
          <w:p>
            <w:pPr>
              <w:pStyle w:val="Compact"/>
              <w:jc w:val="left"/>
            </w:pPr>
            <w:r>
              <w:t xml:space="preserve">412</w:t>
            </w:r>
          </w:p>
        </w:tc>
        <w:tc>
          <w:p>
            <w:pPr>
              <w:pStyle w:val="Compact"/>
              <w:jc w:val="left"/>
            </w:pPr>
            <w:r>
              <w:t xml:space="preserve">95</w:t>
            </w:r>
          </w:p>
        </w:tc>
        <w:tc>
          <w:p>
            <w:pPr>
              <w:pStyle w:val="Compact"/>
              <w:jc w:val="left"/>
            </w:pPr>
            <w:r>
              <w:t xml:space="preserve">38</w:t>
            </w:r>
          </w:p>
        </w:tc>
        <w:tc>
          <w:p>
            <w:pPr>
              <w:pStyle w:val="Compact"/>
              <w:jc w:val="left"/>
            </w:pPr>
            <w:r>
              <w:t xml:space="preserve">4</w:t>
            </w:r>
          </w:p>
        </w:tc>
        <w:tc>
          <w:p>
            <w:pPr>
              <w:pStyle w:val="Compact"/>
              <w:jc w:val="left"/>
            </w:pPr>
            <w:r>
              <w:t xml:space="preserve">11%</w:t>
            </w:r>
          </w:p>
        </w:tc>
        <w:tc>
          <w:p>
            <w:pPr>
              <w:pStyle w:val="Compact"/>
              <w:jc w:val="left"/>
            </w:pPr>
            <w:r>
              <w:t xml:space="preserve">0</w:t>
            </w:r>
          </w:p>
        </w:tc>
        <w:tc>
          <w:p>
            <w:pPr>
              <w:pStyle w:val="Compact"/>
              <w:jc w:val="left"/>
            </w:pPr>
            <w:r>
              <w:t xml:space="preserve">0</w:t>
            </w:r>
          </w:p>
        </w:tc>
        <w:tc>
          <w:p>
            <w:pPr>
              <w:pStyle w:val="Compact"/>
            </w:pPr>
          </w:p>
        </w:tc>
      </w:tr>
      <w:tr>
        <w:tc>
          <w:p>
            <w:pPr>
              <w:pStyle w:val="Compact"/>
              <w:jc w:val="left"/>
            </w:pPr>
            <w:r>
              <w:t xml:space="preserve">2005</w:t>
            </w:r>
          </w:p>
        </w:tc>
        <w:tc>
          <w:p>
            <w:pPr>
              <w:pStyle w:val="Compact"/>
              <w:jc w:val="left"/>
            </w:pPr>
            <w:r>
              <w:t xml:space="preserve">646</w:t>
            </w:r>
          </w:p>
        </w:tc>
        <w:tc>
          <w:p>
            <w:pPr>
              <w:pStyle w:val="Compact"/>
              <w:jc w:val="left"/>
            </w:pPr>
            <w:r>
              <w:t xml:space="preserve">355</w:t>
            </w:r>
          </w:p>
        </w:tc>
        <w:tc>
          <w:p>
            <w:pPr>
              <w:pStyle w:val="Compact"/>
              <w:jc w:val="left"/>
            </w:pPr>
            <w:r>
              <w:t xml:space="preserve">98</w:t>
            </w:r>
          </w:p>
        </w:tc>
        <w:tc>
          <w:p>
            <w:pPr>
              <w:pStyle w:val="Compact"/>
              <w:jc w:val="left"/>
            </w:pPr>
            <w:r>
              <w:t xml:space="preserve">40</w:t>
            </w:r>
          </w:p>
        </w:tc>
        <w:tc>
          <w:p>
            <w:pPr>
              <w:pStyle w:val="Compact"/>
              <w:jc w:val="left"/>
            </w:pPr>
            <w:r>
              <w:t xml:space="preserve">26</w:t>
            </w:r>
          </w:p>
        </w:tc>
        <w:tc>
          <w:p>
            <w:pPr>
              <w:pStyle w:val="Compact"/>
              <w:jc w:val="left"/>
            </w:pPr>
            <w:r>
              <w:t xml:space="preserve">65%</w:t>
            </w:r>
          </w:p>
        </w:tc>
        <w:tc>
          <w:p>
            <w:pPr>
              <w:pStyle w:val="Compact"/>
              <w:jc w:val="left"/>
            </w:pPr>
            <w:r>
              <w:t xml:space="preserve">23</w:t>
            </w:r>
          </w:p>
        </w:tc>
        <w:tc>
          <w:p>
            <w:pPr>
              <w:pStyle w:val="Compact"/>
              <w:jc w:val="left"/>
            </w:pPr>
            <w:r>
              <w:t xml:space="preserve">30</w:t>
            </w:r>
          </w:p>
        </w:tc>
        <w:tc>
          <w:p>
            <w:pPr>
              <w:pStyle w:val="Compact"/>
            </w:pPr>
          </w:p>
        </w:tc>
      </w:tr>
      <w:tr>
        <w:tc>
          <w:p>
            <w:pPr>
              <w:pStyle w:val="Compact"/>
              <w:jc w:val="left"/>
            </w:pPr>
            <w:r>
              <w:t xml:space="preserve">2010</w:t>
            </w:r>
          </w:p>
        </w:tc>
        <w:tc>
          <w:p>
            <w:pPr>
              <w:pStyle w:val="Compact"/>
              <w:jc w:val="left"/>
            </w:pPr>
            <w:r>
              <w:t xml:space="preserve">650</w:t>
            </w:r>
          </w:p>
        </w:tc>
        <w:tc>
          <w:p>
            <w:pPr>
              <w:pStyle w:val="Compact"/>
              <w:jc w:val="left"/>
            </w:pPr>
            <w:r>
              <w:t xml:space="preserve">258</w:t>
            </w:r>
          </w:p>
        </w:tc>
        <w:tc>
          <w:p>
            <w:pPr>
              <w:pStyle w:val="Compact"/>
              <w:jc w:val="left"/>
            </w:pPr>
            <w:r>
              <w:t xml:space="preserve">81</w:t>
            </w:r>
          </w:p>
        </w:tc>
        <w:tc>
          <w:p>
            <w:pPr>
              <w:pStyle w:val="Compact"/>
              <w:jc w:val="left"/>
            </w:pPr>
            <w:r>
              <w:t xml:space="preserve">64</w:t>
            </w:r>
          </w:p>
        </w:tc>
        <w:tc>
          <w:p>
            <w:pPr>
              <w:pStyle w:val="Compact"/>
              <w:jc w:val="left"/>
            </w:pPr>
            <w:r>
              <w:t xml:space="preserve">32</w:t>
            </w:r>
          </w:p>
        </w:tc>
        <w:tc>
          <w:p>
            <w:pPr>
              <w:pStyle w:val="Compact"/>
              <w:jc w:val="left"/>
            </w:pPr>
            <w:r>
              <w:t xml:space="preserve">50%</w:t>
            </w:r>
          </w:p>
        </w:tc>
        <w:tc>
          <w:p>
            <w:pPr>
              <w:pStyle w:val="Compact"/>
              <w:jc w:val="left"/>
            </w:pPr>
            <w:r>
              <w:t xml:space="preserve">28</w:t>
            </w:r>
          </w:p>
        </w:tc>
        <w:tc>
          <w:p>
            <w:pPr>
              <w:pStyle w:val="Compact"/>
              <w:jc w:val="left"/>
            </w:pPr>
            <w:r>
              <w:t xml:space="preserve">63</w:t>
            </w:r>
          </w:p>
        </w:tc>
        <w:tc>
          <w:p>
            <w:pPr>
              <w:pStyle w:val="Compact"/>
            </w:pPr>
          </w:p>
        </w:tc>
      </w:tr>
      <w:tr>
        <w:tc>
          <w:p>
            <w:pPr>
              <w:pStyle w:val="Compact"/>
              <w:jc w:val="left"/>
            </w:pPr>
            <w:r>
              <w:t xml:space="preserve">2015</w:t>
            </w:r>
          </w:p>
        </w:tc>
        <w:tc>
          <w:p>
            <w:pPr>
              <w:pStyle w:val="Compact"/>
              <w:jc w:val="left"/>
            </w:pPr>
            <w:r>
              <w:t xml:space="preserve">650</w:t>
            </w:r>
          </w:p>
        </w:tc>
        <w:tc>
          <w:p>
            <w:pPr>
              <w:pStyle w:val="Compact"/>
              <w:jc w:val="left"/>
            </w:pPr>
            <w:r>
              <w:t xml:space="preserve">232</w:t>
            </w:r>
          </w:p>
        </w:tc>
        <w:tc>
          <w:p>
            <w:pPr>
              <w:pStyle w:val="Compact"/>
              <w:jc w:val="left"/>
            </w:pPr>
            <w:r>
              <w:t xml:space="preserve">99</w:t>
            </w:r>
          </w:p>
        </w:tc>
        <w:tc>
          <w:p>
            <w:pPr>
              <w:pStyle w:val="Compact"/>
              <w:jc w:val="left"/>
            </w:pPr>
            <w:r>
              <w:t xml:space="preserve">49</w:t>
            </w:r>
          </w:p>
        </w:tc>
        <w:tc>
          <w:p>
            <w:pPr>
              <w:pStyle w:val="Compact"/>
              <w:jc w:val="left"/>
            </w:pPr>
            <w:r>
              <w:t xml:space="preserve">31</w:t>
            </w:r>
          </w:p>
        </w:tc>
        <w:tc>
          <w:p>
            <w:pPr>
              <w:pStyle w:val="Compact"/>
              <w:jc w:val="left"/>
            </w:pPr>
            <w:r>
              <w:t xml:space="preserve">63%</w:t>
            </w:r>
          </w:p>
        </w:tc>
        <w:tc>
          <w:p>
            <w:pPr>
              <w:pStyle w:val="Compact"/>
              <w:jc w:val="left"/>
            </w:pPr>
            <w:r>
              <w:t xml:space="preserve">31</w:t>
            </w:r>
          </w:p>
        </w:tc>
        <w:tc>
          <w:p>
            <w:pPr>
              <w:pStyle w:val="Compact"/>
              <w:jc w:val="left"/>
            </w:pPr>
            <w:r>
              <w:t xml:space="preserve">77</w:t>
            </w:r>
          </w:p>
        </w:tc>
        <w:tc>
          <w:p>
            <w:pPr>
              <w:pStyle w:val="Compact"/>
            </w:pPr>
          </w:p>
        </w:tc>
      </w:tr>
    </w:tbl>
    <w:p>
      <w:pPr>
        <w:pStyle w:val="BodyText"/>
      </w:pPr>
      <w:r>
        <w:t xml:space="preserve">Data in this table is take from</w:t>
      </w:r>
      <w:r>
        <w:t xml:space="preserve"> </w:t>
      </w:r>
      <w:r>
        <w:t xml:space="preserve">(Kelly</w:t>
      </w:r>
      <w:r>
        <w:t xml:space="preserve"> </w:t>
      </w:r>
      <w:hyperlink w:anchor="ref-kelly2016">
        <w:r>
          <w:rPr>
            <w:rStyle w:val="Hyperlink"/>
          </w:rPr>
          <w:t xml:space="preserve">2016</w:t>
        </w:r>
      </w:hyperlink>
      <w:r>
        <w:t xml:space="preserve">)</w:t>
      </w:r>
      <w:r>
        <w:t xml:space="preserve"> </w:t>
      </w:r>
      <w:r>
        <w:t xml:space="preserve">and</w:t>
      </w:r>
      <w:r>
        <w:t xml:space="preserve"> </w:t>
      </w:r>
      <w:r>
        <w:t xml:space="preserve">(Audickas, Hawkins, and Cracknell</w:t>
      </w:r>
      <w:r>
        <w:t xml:space="preserve"> </w:t>
      </w:r>
      <w:hyperlink w:anchor="ref-audickas2017">
        <w:r>
          <w:rPr>
            <w:rStyle w:val="Hyperlink"/>
          </w:rPr>
          <w:t xml:space="preserve">2017</w:t>
        </w:r>
      </w:hyperlink>
      <w:r>
        <w:t xml:space="preserve">)</w:t>
      </w:r>
      <w:r>
        <w:t xml:space="preserve">. All women shortlists were not used by Labour during the 2001 General Election.</w:t>
      </w:r>
    </w:p>
    <w:p>
      <w:pPr>
        <w:pStyle w:val="BodyText"/>
      </w:pPr>
      <w:r>
        <w:t xml:space="preserve">Hypothesis:</w:t>
      </w:r>
      <w:r>
        <w:t xml:space="preserve"> </w:t>
      </w:r>
      <w:r>
        <w:t xml:space="preserve">- Women selected through all women shortlists use more</w:t>
      </w:r>
      <w:r>
        <w:t xml:space="preserve"> </w:t>
      </w:r>
      <w:r>
        <w:t xml:space="preserve">“</w:t>
      </w:r>
      <w:r>
        <w:t xml:space="preserve">feminine</w:t>
      </w:r>
      <w:r>
        <w:t xml:space="preserve">”</w:t>
      </w:r>
      <w:r>
        <w:t xml:space="preserve"> </w:t>
      </w:r>
      <w:r>
        <w:t xml:space="preserve">language – pronouns, particular personal pronouns, passive voice, hedges, etc – than women selected in open selections.</w:t>
      </w:r>
    </w:p>
    <w:p>
      <w:pPr>
        <w:pStyle w:val="Heading2"/>
      </w:pPr>
      <w:bookmarkStart w:id="24" w:name="liwc-creation"/>
      <w:r>
        <w:t xml:space="preserve">LIWC creation</w:t>
      </w:r>
      <w:bookmarkEnd w:id="24"/>
    </w:p>
    <w:p>
      <w:pPr>
        <w:pStyle w:val="Heading2"/>
      </w:pPr>
      <w:bookmarkStart w:id="25" w:name="women-vs-men"/>
      <w:r>
        <w:t xml:space="preserve">Women vs Men</w:t>
      </w:r>
      <w:bookmarkEnd w:id="25"/>
    </w:p>
    <w:p>
      <w:pPr>
        <w:pStyle w:val="Heading2"/>
      </w:pPr>
      <w:bookmarkStart w:id="26" w:name="shortlists-vs-non-shortlists"/>
      <w:r>
        <w:t xml:space="preserve">Shortlists vs Non-Shortlists</w:t>
      </w:r>
      <w:bookmarkEnd w:id="26"/>
    </w:p>
    <w:p>
      <w:pPr>
        <w:pStyle w:val="FirstParagraph"/>
      </w:pPr>
      <w:r>
        <w:t xml:space="preserve">Effect size was calculated using Cohen’s</w:t>
      </w:r>
      <w:r>
        <w:t xml:space="preserve"> </w:t>
      </w:r>
      <w:r>
        <w:rPr>
          <w:i/>
        </w:rPr>
        <w:t xml:space="preserve">d</w:t>
      </w:r>
      <w:r>
        <w:t xml:space="preserve"> </w:t>
      </w:r>
      <w:r>
        <w:t xml:space="preserve">(Cohen</w:t>
      </w:r>
      <w:r>
        <w:t xml:space="preserve"> </w:t>
      </w:r>
      <w:hyperlink w:anchor="ref-cohen1988">
        <w:r>
          <w:rPr>
            <w:rStyle w:val="Hyperlink"/>
          </w:rPr>
          <w:t xml:space="preserve">1988</w:t>
        </w:r>
      </w:hyperlink>
      <w:r>
        <w:t xml:space="preserve">)</w:t>
      </w:r>
    </w:p>
    <w:p>
      <w:pPr>
        <w:pStyle w:val="Heading3"/>
      </w:pPr>
      <w:bookmarkStart w:id="27" w:name="experiment-in-plotting"/>
      <w:r>
        <w:t xml:space="preserve">Experiment in plotting</w:t>
      </w:r>
      <w:bookmarkEnd w:id="27"/>
    </w:p>
    <w:p>
      <w:pPr>
        <w:pStyle w:val="Heading2"/>
      </w:pPr>
      <w:bookmarkStart w:id="28" w:name="spacy"/>
      <w:r>
        <w:t xml:space="preserve">Spacy</w:t>
      </w:r>
      <w:bookmarkEnd w:id="28"/>
    </w:p>
    <w:p>
      <w:pPr>
        <w:pStyle w:val="Heading2"/>
      </w:pPr>
      <w:bookmarkStart w:id="29" w:name="pos-analysis"/>
      <w:r>
        <w:t xml:space="preserve">POS Analysis</w:t>
      </w:r>
      <w:bookmarkEnd w:id="29"/>
    </w:p>
    <w:p>
      <w:pPr>
        <w:pStyle w:val="FirstParagraph"/>
      </w:pPr>
      <w:r>
        <w:t xml:space="preserve">STILL OUTSTANDING:</w:t>
      </w:r>
      <w:r>
        <w:t xml:space="preserve"> </w:t>
      </w:r>
      <w:r>
        <w:t xml:space="preserve">- topic choice</w:t>
      </w:r>
    </w:p>
    <w:p>
      <w:pPr>
        <w:pStyle w:val="Heading2"/>
      </w:pPr>
      <w:bookmarkStart w:id="30" w:name="tokenising-keyness"/>
      <w:r>
        <w:t xml:space="preserve">Tokenising / Keyness</w:t>
      </w:r>
      <w:bookmarkEnd w:id="30"/>
    </w:p>
    <w:p>
      <w:pPr>
        <w:pStyle w:val="FirstParagraph"/>
      </w:pPr>
      <w:r>
        <w:t xml:space="preserve">The most commonly used words by both men and women would be protocol boilerplate expressions. With that in mind, we calculate the keyness of words.</w:t>
      </w:r>
    </w:p>
    <w:p>
      <w:pPr>
        <w:pStyle w:val="Heading3"/>
      </w:pPr>
      <w:bookmarkStart w:id="31" w:name="men-vs-women"/>
      <w:r>
        <w:t xml:space="preserve">Men vs Women</w:t>
      </w:r>
      <w:bookmarkEnd w:id="31"/>
    </w:p>
    <w:p>
      <w:pPr>
        <w:pStyle w:val="Heading3"/>
      </w:pPr>
      <w:bookmarkStart w:id="32" w:name="shortlists-vs-non-shortlists-1"/>
      <w:r>
        <w:t xml:space="preserve">Shortlists vs Non-Shortlists</w:t>
      </w:r>
      <w:bookmarkEnd w:id="32"/>
    </w:p>
    <w:bookmarkStart w:id="48" w:name="refs"/>
    <w:bookmarkStart w:id="34" w:name="ref-audickas2017"/>
    <w:p>
      <w:pPr>
        <w:pStyle w:val="Bibliography"/>
      </w:pPr>
      <w:r>
        <w:t xml:space="preserve">Audickas, Lukas, Oliver Hawkins, and Richard Cracknell. 2017. “UK Election Statistics: 1918-2017.” Briefing Paper CBP7529. London: House of Commons Library.</w:t>
      </w:r>
      <w:r>
        <w:t xml:space="preserve"> </w:t>
      </w:r>
      <w:hyperlink r:id="rId33">
        <w:r>
          <w:rPr>
            <w:rStyle w:val="Hyperlink"/>
          </w:rPr>
          <w:t xml:space="preserve">http://researchbriefings.parliament.uk/ResearchBriefing/Summary/CBP-7529</w:t>
        </w:r>
      </w:hyperlink>
      <w:r>
        <w:t xml:space="preserve">.</w:t>
      </w:r>
    </w:p>
    <w:bookmarkEnd w:id="34"/>
    <w:bookmarkStart w:id="36" w:name="ref-benoit2018"/>
    <w:p>
      <w:pPr>
        <w:pStyle w:val="Bibliography"/>
      </w:pPr>
      <w:r>
        <w:t xml:space="preserve">Benoit, Kenneth. 2018.</w:t>
      </w:r>
      <w:r>
        <w:t xml:space="preserve"> </w:t>
      </w:r>
      <w:r>
        <w:rPr>
          <w:i/>
        </w:rPr>
        <w:t xml:space="preserve">Quanteda: Quantitative Analysis of Textual Data</w:t>
      </w:r>
      <w:r>
        <w:t xml:space="preserve">.</w:t>
      </w:r>
      <w:r>
        <w:t xml:space="preserve"> </w:t>
      </w:r>
      <w:hyperlink r:id="rId35">
        <w:r>
          <w:rPr>
            <w:rStyle w:val="Hyperlink"/>
          </w:rPr>
          <w:t xml:space="preserve">https://doi.org/10.5281/zenodo.1004683</w:t>
        </w:r>
      </w:hyperlink>
      <w:r>
        <w:t xml:space="preserve">.</w:t>
      </w:r>
    </w:p>
    <w:bookmarkEnd w:id="36"/>
    <w:bookmarkStart w:id="37" w:name="ref-cohen1988"/>
    <w:p>
      <w:pPr>
        <w:pStyle w:val="Bibliography"/>
      </w:pPr>
      <w:r>
        <w:t xml:space="preserve">Cohen, Jacob. 1988.</w:t>
      </w:r>
      <w:r>
        <w:t xml:space="preserve"> </w:t>
      </w:r>
      <w:r>
        <w:rPr>
          <w:i/>
        </w:rPr>
        <w:t xml:space="preserve">Statistical Power Analysis for the Behavioral Sciences</w:t>
      </w:r>
      <w:r>
        <w:t xml:space="preserve">. 2nd ed. Hillsdale, N.J: L. Erlbaum Associates.</w:t>
      </w:r>
    </w:p>
    <w:bookmarkEnd w:id="37"/>
    <w:bookmarkStart w:id="39" w:name="ref-kelly2016"/>
    <w:p>
      <w:pPr>
        <w:pStyle w:val="Bibliography"/>
      </w:pPr>
      <w:r>
        <w:t xml:space="preserve">Kelly, Richard. 2016. “All-Women Shortlists.” Briefing Paper 5057. London: House of Commons Library.</w:t>
      </w:r>
      <w:r>
        <w:t xml:space="preserve"> </w:t>
      </w:r>
      <w:hyperlink r:id="rId38">
        <w:r>
          <w:rPr>
            <w:rStyle w:val="Hyperlink"/>
          </w:rPr>
          <w:t xml:space="preserve">https://researchbriefings.parliament.uk/ResearchBriefing/Summary/SN05057</w:t>
        </w:r>
      </w:hyperlink>
      <w:r>
        <w:t xml:space="preserve">.</w:t>
      </w:r>
    </w:p>
    <w:bookmarkEnd w:id="39"/>
    <w:bookmarkStart w:id="41" w:name="ref-kincaid1975"/>
    <w:p>
      <w:pPr>
        <w:pStyle w:val="Bibliography"/>
      </w:pPr>
      <w:r>
        <w:t xml:space="preserve">Kincaid, J. Peter, Robert P. Fishburne, Richard L. Rogers, and Brad S. Chissom. 1975. “Derivation of New Readability Formulas (Automated Readability Index, Fog Count and Flesch Reading Ease Formula) for Navy Enlisted Personnel:” Fort Belvoir, VA: Defense Technical Information Center.</w:t>
      </w:r>
      <w:r>
        <w:t xml:space="preserve"> </w:t>
      </w:r>
      <w:hyperlink r:id="rId40">
        <w:r>
          <w:rPr>
            <w:rStyle w:val="Hyperlink"/>
          </w:rPr>
          <w:t xml:space="preserve">https://doi.org/10.21236/ADA006655</w:t>
        </w:r>
      </w:hyperlink>
      <w:r>
        <w:t xml:space="preserve">.</w:t>
      </w:r>
    </w:p>
    <w:bookmarkEnd w:id="41"/>
    <w:bookmarkStart w:id="43" w:name="ref-odell2018"/>
    <w:p>
      <w:pPr>
        <w:pStyle w:val="Bibliography"/>
      </w:pPr>
      <w:r>
        <w:t xml:space="preserve">Odell, Evan. 2018. “Hansard Speeches and Sentiment V2.5.1 [Dataset],” July.</w:t>
      </w:r>
      <w:r>
        <w:t xml:space="preserve"> </w:t>
      </w:r>
      <w:hyperlink r:id="rId42">
        <w:r>
          <w:rPr>
            <w:rStyle w:val="Hyperlink"/>
          </w:rPr>
          <w:t xml:space="preserve">https://doi.org/10.5281/zenodo.1306964</w:t>
        </w:r>
      </w:hyperlink>
      <w:r>
        <w:t xml:space="preserve">.</w:t>
      </w:r>
    </w:p>
    <w:bookmarkEnd w:id="43"/>
    <w:bookmarkStart w:id="45" w:name="ref-pennebaker2015"/>
    <w:p>
      <w:pPr>
        <w:pStyle w:val="Bibliography"/>
      </w:pPr>
      <w:r>
        <w:t xml:space="preserve">Pennebaker, James W, Ryan L Boyd, Kayla Jordan, and Kate Blackburn. 2015. “The Development and Psychometric Properties of LIWC2015,” 26.</w:t>
      </w:r>
      <w:r>
        <w:t xml:space="preserve"> </w:t>
      </w:r>
      <w:hyperlink r:id="rId44">
        <w:r>
          <w:rPr>
            <w:rStyle w:val="Hyperlink"/>
          </w:rPr>
          <w:t xml:space="preserve">https://repositories.lib.utexas.edu/bitstream/handle/2152/31333/LIWC2015_LanguageManual.pdf</w:t>
        </w:r>
      </w:hyperlink>
      <w:r>
        <w:t xml:space="preserve">.</w:t>
      </w:r>
    </w:p>
    <w:bookmarkEnd w:id="45"/>
    <w:bookmarkStart w:id="47" w:name="ref-yu2014"/>
    <w:p>
      <w:pPr>
        <w:pStyle w:val="Bibliography"/>
      </w:pPr>
      <w:r>
        <w:t xml:space="preserve">Yu, B. 2014. “Language and Gender in Congressional Speech.”</w:t>
      </w:r>
      <w:r>
        <w:t xml:space="preserve"> </w:t>
      </w:r>
      <w:r>
        <w:rPr>
          <w:i/>
        </w:rPr>
        <w:t xml:space="preserve">Literary and Linguistic Computing</w:t>
      </w:r>
      <w:r>
        <w:t xml:space="preserve"> </w:t>
      </w:r>
      <w:r>
        <w:t xml:space="preserve">29 (1): 118–32.</w:t>
      </w:r>
      <w:r>
        <w:t xml:space="preserve"> </w:t>
      </w:r>
      <w:hyperlink r:id="rId46">
        <w:r>
          <w:rPr>
            <w:rStyle w:val="Hyperlink"/>
          </w:rPr>
          <w:t xml:space="preserve">https://doi.org/10.1093/llc/fqs073</w:t>
        </w:r>
      </w:hyperlink>
      <w:r>
        <w:t xml:space="preserve">.</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e.g. a reference to</w:t>
      </w:r>
      <w:r>
        <w:t xml:space="preserve"> </w:t>
      </w:r>
      <w:r>
        <w:t xml:space="preserve">“</w:t>
      </w:r>
      <w:r>
        <w:t xml:space="preserve">the member for Bethnal Green and Bow</w:t>
      </w:r>
      <w:r>
        <w:t xml:space="preserve">”</w:t>
      </w:r>
      <w:r>
        <w:t xml:space="preserve"> </w:t>
      </w:r>
      <w:r>
        <w:t xml:space="preserve">in keeping with Parliamentary convention of identifying MPs by their seat rather than their name would be followed by</w:t>
      </w:r>
      <w:r>
        <w:t xml:space="preserve"> </w:t>
      </w:r>
      <w:r>
        <w:t xml:space="preserve">“</w:t>
      </w:r>
      <w:r>
        <w:t xml:space="preserve">(Rushnara Ali)</w:t>
      </w:r>
      <w:r>
        <w:t xml:space="preserve">”</w:t>
      </w:r>
      <w:r>
        <w:t xml:space="preserve">.</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researchbriefings.parliament.uk/ResearchBriefing/Summary/CBP-7529" TargetMode="External" /><Relationship Type="http://schemas.openxmlformats.org/officeDocument/2006/relationships/hyperlink" Id="rId46" Target="https://doi.org/10.1093/llc/fqs073" TargetMode="External" /><Relationship Type="http://schemas.openxmlformats.org/officeDocument/2006/relationships/hyperlink" Id="rId40" Target="https://doi.org/10.21236/ADA006655" TargetMode="External" /><Relationship Type="http://schemas.openxmlformats.org/officeDocument/2006/relationships/hyperlink" Id="rId35" Target="https://doi.org/10.5281/zenodo.1004683" TargetMode="External" /><Relationship Type="http://schemas.openxmlformats.org/officeDocument/2006/relationships/hyperlink" Id="rId42" Target="https://doi.org/10.5281/zenodo.1306964" TargetMode="External" /><Relationship Type="http://schemas.openxmlformats.org/officeDocument/2006/relationships/hyperlink" Id="rId44" Target="https://repositories.lib.utexas.edu/bitstream/handle/2152/31333/LIWC2015_LanguageManual.pdf" TargetMode="External" /><Relationship Type="http://schemas.openxmlformats.org/officeDocument/2006/relationships/hyperlink" Id="rId38" Target="https://researchbriefings.parliament.uk/ResearchBriefing/Summary/SN05057" TargetMode="External" /></Relationships>
</file>

<file path=word/_rels/footnotes.xml.rels><?xml version="1.0" encoding="UTF-8"?>
<Relationships xmlns="http://schemas.openxmlformats.org/package/2006/relationships"><Relationship Type="http://schemas.openxmlformats.org/officeDocument/2006/relationships/hyperlink" Id="rId33" Target="http://researchbriefings.parliament.uk/ResearchBriefing/Summary/CBP-7529" TargetMode="External" /><Relationship Type="http://schemas.openxmlformats.org/officeDocument/2006/relationships/hyperlink" Id="rId46" Target="https://doi.org/10.1093/llc/fqs073" TargetMode="External" /><Relationship Type="http://schemas.openxmlformats.org/officeDocument/2006/relationships/hyperlink" Id="rId40" Target="https://doi.org/10.21236/ADA006655" TargetMode="External" /><Relationship Type="http://schemas.openxmlformats.org/officeDocument/2006/relationships/hyperlink" Id="rId35" Target="https://doi.org/10.5281/zenodo.1004683" TargetMode="External" /><Relationship Type="http://schemas.openxmlformats.org/officeDocument/2006/relationships/hyperlink" Id="rId42" Target="https://doi.org/10.5281/zenodo.1306964" TargetMode="External" /><Relationship Type="http://schemas.openxmlformats.org/officeDocument/2006/relationships/hyperlink" Id="rId44" Target="https://repositories.lib.utexas.edu/bitstream/handle/2152/31333/LIWC2015_LanguageManual.pdf" TargetMode="External" /><Relationship Type="http://schemas.openxmlformats.org/officeDocument/2006/relationships/hyperlink" Id="rId38" Target="https://researchbriefings.parliament.uk/ResearchBriefing/Summary/SN0505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 Women Shortlists Methodology</dc:title>
  <dc:creator/>
  <cp:keywords/>
  <dcterms:created xsi:type="dcterms:W3CDTF">2018-07-10T16:41:07Z</dcterms:created>
  <dcterms:modified xsi:type="dcterms:W3CDTF">2018-07-10T16:41:07Z</dcterms:modified>
</cp:coreProperties>
</file>