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E84EB9" w14:textId="77777777" w:rsidR="005F6438" w:rsidRPr="00DA6CA9" w:rsidRDefault="005F6438" w:rsidP="005F6438">
      <w:pPr>
        <w:widowControl w:val="0"/>
        <w:autoSpaceDE w:val="0"/>
        <w:autoSpaceDN w:val="0"/>
        <w:adjustRightInd w:val="0"/>
        <w:spacing w:after="240" w:line="360" w:lineRule="atLeast"/>
        <w:rPr>
          <w:rFonts w:ascii="PT Sans" w:hAnsi="PT Sans" w:cs="Times New Roman"/>
        </w:rPr>
      </w:pPr>
      <w:r w:rsidRPr="00DA6CA9">
        <w:rPr>
          <w:rFonts w:ascii="PT Sans" w:hAnsi="PT Sans" w:cs="Times New Roman"/>
        </w:rPr>
        <w:t xml:space="preserve">. Furthermore, collaboration edges exhibit more consistency (fewer times when the relationship changes in consecutive problem sets) than one would expect just given the number of times that they are present in the networks. This trend suggests these relationships mostly switch on and off rather than popping in and out of existence. </w:t>
      </w:r>
    </w:p>
    <w:p w14:paraId="4320D9FC" w14:textId="77777777" w:rsidR="005F6438" w:rsidRPr="00DA6CA9" w:rsidRDefault="005F6438" w:rsidP="005F6438">
      <w:pPr>
        <w:widowControl w:val="0"/>
        <w:autoSpaceDE w:val="0"/>
        <w:autoSpaceDN w:val="0"/>
        <w:adjustRightInd w:val="0"/>
        <w:spacing w:after="240" w:line="360" w:lineRule="atLeast"/>
        <w:rPr>
          <w:rFonts w:ascii="PT Sans" w:hAnsi="PT Sans" w:cs="Times New Roman"/>
        </w:rPr>
      </w:pPr>
    </w:p>
    <w:p w14:paraId="5E577D06" w14:textId="77777777" w:rsidR="005F6438" w:rsidRPr="00DA6CA9" w:rsidRDefault="005F6438" w:rsidP="005F6438">
      <w:pPr>
        <w:widowControl w:val="0"/>
        <w:autoSpaceDE w:val="0"/>
        <w:autoSpaceDN w:val="0"/>
        <w:adjustRightInd w:val="0"/>
        <w:spacing w:after="240" w:line="360" w:lineRule="atLeast"/>
        <w:rPr>
          <w:rFonts w:ascii="PT Sans" w:hAnsi="PT Sans" w:cs="Times New Roman"/>
        </w:rPr>
      </w:pPr>
      <w:r w:rsidRPr="00DA6CA9">
        <w:rPr>
          <w:rFonts w:ascii="PT Sans" w:hAnsi="PT Sans" w:cs="Times New Roman"/>
          <w:noProof/>
        </w:rPr>
        <w:drawing>
          <wp:inline distT="0" distB="0" distL="0" distR="0" wp14:anchorId="5D643F45" wp14:editId="69DC3014">
            <wp:extent cx="4783455" cy="3668395"/>
            <wp:effectExtent l="0" t="0" r="0" b="0"/>
            <wp:docPr id="15" name="Picture 15" descr="Number%20of%20Times%20Relationship%20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umber%20of%20Times%20Relationship%20Change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83455" cy="3668395"/>
                    </a:xfrm>
                    <a:prstGeom prst="rect">
                      <a:avLst/>
                    </a:prstGeom>
                    <a:noFill/>
                    <a:ln>
                      <a:noFill/>
                    </a:ln>
                  </pic:spPr>
                </pic:pic>
              </a:graphicData>
            </a:graphic>
          </wp:inline>
        </w:drawing>
      </w:r>
    </w:p>
    <w:p w14:paraId="44901FDA" w14:textId="77777777" w:rsidR="007C65A9" w:rsidRDefault="00CF2174"/>
    <w:p w14:paraId="4BE2422F" w14:textId="77777777" w:rsidR="009A46D9" w:rsidRDefault="009A46D9" w:rsidP="009A46D9">
      <w:pPr>
        <w:widowControl w:val="0"/>
        <w:autoSpaceDE w:val="0"/>
        <w:autoSpaceDN w:val="0"/>
        <w:adjustRightInd w:val="0"/>
        <w:spacing w:after="240" w:line="480" w:lineRule="auto"/>
        <w:ind w:firstLine="720"/>
        <w:rPr>
          <w:rFonts w:ascii="PT Sans" w:hAnsi="PT Sans" w:cs="Times New Roman"/>
        </w:rPr>
      </w:pPr>
    </w:p>
    <w:p w14:paraId="4211E236" w14:textId="77777777" w:rsidR="009A46D9" w:rsidRDefault="009A46D9" w:rsidP="009A46D9">
      <w:pPr>
        <w:widowControl w:val="0"/>
        <w:autoSpaceDE w:val="0"/>
        <w:autoSpaceDN w:val="0"/>
        <w:adjustRightInd w:val="0"/>
        <w:spacing w:after="240" w:line="480" w:lineRule="auto"/>
        <w:ind w:firstLine="720"/>
        <w:rPr>
          <w:rFonts w:ascii="PT Sans" w:hAnsi="PT Sans" w:cs="Times New Roman"/>
        </w:rPr>
      </w:pPr>
      <w:r w:rsidRPr="00DA6CA9">
        <w:rPr>
          <w:rFonts w:ascii="PT Sans" w:hAnsi="PT Sans" w:cs="Times New Roman"/>
        </w:rPr>
        <w:t xml:space="preserve"> baseline homophily only corresponds the relative prevalence of different groups, while in-breeding homophily corresponds to the differential treatment of in-group and out-group members.</w:t>
      </w:r>
    </w:p>
    <w:p w14:paraId="40BEEF50" w14:textId="77777777" w:rsidR="00ED79D9" w:rsidRDefault="00ED79D9" w:rsidP="009A46D9">
      <w:pPr>
        <w:widowControl w:val="0"/>
        <w:autoSpaceDE w:val="0"/>
        <w:autoSpaceDN w:val="0"/>
        <w:adjustRightInd w:val="0"/>
        <w:spacing w:after="240" w:line="480" w:lineRule="auto"/>
        <w:ind w:firstLine="720"/>
        <w:rPr>
          <w:rFonts w:ascii="PT Sans" w:hAnsi="PT Sans" w:cs="Times New Roman"/>
        </w:rPr>
      </w:pPr>
    </w:p>
    <w:p w14:paraId="77EFB7C3" w14:textId="77777777" w:rsidR="00ED79D9" w:rsidRDefault="00ED79D9" w:rsidP="009A46D9">
      <w:pPr>
        <w:widowControl w:val="0"/>
        <w:autoSpaceDE w:val="0"/>
        <w:autoSpaceDN w:val="0"/>
        <w:adjustRightInd w:val="0"/>
        <w:spacing w:after="240" w:line="480" w:lineRule="auto"/>
        <w:ind w:firstLine="720"/>
        <w:rPr>
          <w:rFonts w:ascii="PT Sans" w:hAnsi="PT Sans" w:cs="Times New Roman"/>
        </w:rPr>
      </w:pPr>
    </w:p>
    <w:p w14:paraId="0F1A2632" w14:textId="77777777" w:rsidR="00633CB1" w:rsidRDefault="00633CB1" w:rsidP="009A46D9">
      <w:pPr>
        <w:widowControl w:val="0"/>
        <w:autoSpaceDE w:val="0"/>
        <w:autoSpaceDN w:val="0"/>
        <w:adjustRightInd w:val="0"/>
        <w:spacing w:after="240" w:line="480" w:lineRule="auto"/>
        <w:ind w:firstLine="720"/>
        <w:rPr>
          <w:rFonts w:ascii="PT Sans" w:hAnsi="PT Sans" w:cs="Times New Roman"/>
        </w:rPr>
      </w:pPr>
    </w:p>
    <w:p w14:paraId="749EE504" w14:textId="77777777" w:rsidR="00633CB1" w:rsidRPr="00DA6CA9" w:rsidRDefault="00633CB1" w:rsidP="00633CB1">
      <w:pPr>
        <w:spacing w:line="480" w:lineRule="auto"/>
        <w:rPr>
          <w:rFonts w:ascii="PT Sans" w:hAnsi="PT Sans"/>
        </w:rPr>
      </w:pPr>
      <w:r w:rsidRPr="00DA6CA9">
        <w:rPr>
          <w:rFonts w:ascii="PT Sans" w:hAnsi="PT Sans"/>
        </w:rPr>
        <w:t xml:space="preserve">There is also evidence that more integrated social environments can lead to more women participating in STEM fields (Legewie and </w:t>
      </w:r>
      <w:proofErr w:type="spellStart"/>
      <w:r w:rsidRPr="00DA6CA9">
        <w:rPr>
          <w:rFonts w:ascii="PT Sans" w:hAnsi="PT Sans"/>
        </w:rPr>
        <w:t>DiPrete</w:t>
      </w:r>
      <w:proofErr w:type="spellEnd"/>
      <w:r w:rsidRPr="00DA6CA9">
        <w:rPr>
          <w:rFonts w:ascii="PT Sans" w:hAnsi="PT Sans"/>
        </w:rPr>
        <w:t xml:space="preserve"> 2014). This suggests that the segregated nature of the collaborative ties may be indicative of a larger trend at Yale that contributes to the imbalanced nature of STEM majors. Integrating men and women socially, and especially in classroom collaboration, could be an effective way to increase the number of women in these classes. </w:t>
      </w:r>
    </w:p>
    <w:p w14:paraId="79380183" w14:textId="77777777" w:rsidR="00633CB1" w:rsidRDefault="00633CB1" w:rsidP="009A46D9">
      <w:pPr>
        <w:widowControl w:val="0"/>
        <w:autoSpaceDE w:val="0"/>
        <w:autoSpaceDN w:val="0"/>
        <w:adjustRightInd w:val="0"/>
        <w:spacing w:after="240" w:line="480" w:lineRule="auto"/>
        <w:ind w:firstLine="720"/>
        <w:rPr>
          <w:rFonts w:ascii="PT Sans" w:hAnsi="PT Sans" w:cs="Times New Roman"/>
        </w:rPr>
      </w:pPr>
    </w:p>
    <w:p w14:paraId="48D54979" w14:textId="77777777" w:rsidR="004D239F" w:rsidRDefault="004D239F" w:rsidP="009A46D9">
      <w:pPr>
        <w:widowControl w:val="0"/>
        <w:autoSpaceDE w:val="0"/>
        <w:autoSpaceDN w:val="0"/>
        <w:adjustRightInd w:val="0"/>
        <w:spacing w:after="240" w:line="480" w:lineRule="auto"/>
        <w:ind w:firstLine="720"/>
        <w:rPr>
          <w:rFonts w:ascii="PT Sans" w:hAnsi="PT Sans" w:cs="Times New Roman"/>
        </w:rPr>
      </w:pPr>
    </w:p>
    <w:p w14:paraId="2E96666D" w14:textId="77777777" w:rsidR="004D239F" w:rsidRDefault="004D239F" w:rsidP="004D239F">
      <w:pPr>
        <w:widowControl w:val="0"/>
        <w:autoSpaceDE w:val="0"/>
        <w:autoSpaceDN w:val="0"/>
        <w:adjustRightInd w:val="0"/>
        <w:spacing w:after="240" w:line="480" w:lineRule="auto"/>
        <w:rPr>
          <w:rFonts w:ascii="PT Sans" w:hAnsi="PT Sans" w:cs="Times New Roman"/>
        </w:rPr>
      </w:pPr>
      <w:r w:rsidRPr="00DA6CA9">
        <w:rPr>
          <w:rFonts w:ascii="PT Sans" w:hAnsi="PT Sans" w:cs="Times New Roman"/>
        </w:rPr>
        <w:t xml:space="preserve">Another one of findings is that, related to similar findings that women are more generous in the dictator game (2003). This conclusion was drawn from the fact that women were more likely than men to choose team pay instead of individual pay when they were abler than his or her partner, raising the partner’s income at the expense of his or her income (Kuhn and </w:t>
      </w:r>
      <w:proofErr w:type="spellStart"/>
      <w:r w:rsidRPr="00DA6CA9">
        <w:rPr>
          <w:rFonts w:ascii="PT Sans" w:hAnsi="PT Sans" w:cs="Times New Roman"/>
        </w:rPr>
        <w:t>Villeval</w:t>
      </w:r>
      <w:proofErr w:type="spellEnd"/>
      <w:r w:rsidRPr="00DA6CA9">
        <w:rPr>
          <w:rFonts w:ascii="PT Sans" w:hAnsi="PT Sans" w:cs="Times New Roman"/>
        </w:rPr>
        <w:t xml:space="preserve"> 2003). </w:t>
      </w:r>
    </w:p>
    <w:p w14:paraId="516EE8C1" w14:textId="77777777" w:rsidR="00483E75" w:rsidRDefault="00483E75" w:rsidP="004D239F">
      <w:pPr>
        <w:widowControl w:val="0"/>
        <w:autoSpaceDE w:val="0"/>
        <w:autoSpaceDN w:val="0"/>
        <w:adjustRightInd w:val="0"/>
        <w:spacing w:after="240" w:line="480" w:lineRule="auto"/>
        <w:rPr>
          <w:rFonts w:ascii="PT Sans" w:hAnsi="PT Sans" w:cs="Times New Roman"/>
        </w:rPr>
      </w:pPr>
    </w:p>
    <w:p w14:paraId="26E4155F" w14:textId="1714AE83" w:rsidR="00483E75" w:rsidRPr="00DA6CA9" w:rsidRDefault="00483E75" w:rsidP="004D239F">
      <w:pPr>
        <w:widowControl w:val="0"/>
        <w:autoSpaceDE w:val="0"/>
        <w:autoSpaceDN w:val="0"/>
        <w:adjustRightInd w:val="0"/>
        <w:spacing w:after="240" w:line="480" w:lineRule="auto"/>
        <w:rPr>
          <w:rFonts w:ascii="PT Sans" w:hAnsi="PT Sans" w:cs="Times New Roman"/>
        </w:rPr>
      </w:pPr>
      <w:r w:rsidRPr="00DA6CA9">
        <w:rPr>
          <w:rFonts w:ascii="PT Sans" w:hAnsi="PT Sans"/>
        </w:rPr>
        <w:t xml:space="preserve">This small improvement is reflected in the small magnitude of the coefficients trained for this model.  </w:t>
      </w:r>
    </w:p>
    <w:p w14:paraId="7265F12D" w14:textId="42699CAA" w:rsidR="009A46D9" w:rsidRDefault="00ED79D9">
      <w:pPr>
        <w:rPr>
          <w:rFonts w:ascii="PT Sans" w:hAnsi="PT Sans"/>
        </w:rPr>
      </w:pPr>
      <w:r w:rsidRPr="00DA6CA9">
        <w:rPr>
          <w:rFonts w:ascii="PT Sans" w:hAnsi="PT Sans"/>
        </w:rPr>
        <w:t>. Another explanation is that women’s status as the underrepresented group energized them to collaborate more than otherwise might happen.  While there was a Facebook group for women in the class to work together, members of the group do not report it being particularly active.</w:t>
      </w:r>
    </w:p>
    <w:p w14:paraId="1BC333E6" w14:textId="77777777" w:rsidR="00D4719B" w:rsidRDefault="00D4719B">
      <w:pPr>
        <w:rPr>
          <w:rFonts w:ascii="PT Sans" w:hAnsi="PT Sans"/>
        </w:rPr>
      </w:pPr>
    </w:p>
    <w:p w14:paraId="45287E61" w14:textId="77777777" w:rsidR="004B1B05" w:rsidRDefault="004B1B05">
      <w:pPr>
        <w:rPr>
          <w:rFonts w:ascii="PT Sans" w:hAnsi="PT Sans"/>
        </w:rPr>
      </w:pPr>
    </w:p>
    <w:p w14:paraId="3D853524" w14:textId="3A54811E" w:rsidR="004B1B05" w:rsidRDefault="004B1B05">
      <w:pPr>
        <w:rPr>
          <w:rFonts w:ascii="PT Sans" w:hAnsi="PT Sans"/>
          <w:color w:val="000000" w:themeColor="text1"/>
        </w:rPr>
      </w:pPr>
      <w:r w:rsidRPr="00DA6CA9">
        <w:rPr>
          <w:rFonts w:ascii="PT Sans" w:hAnsi="PT Sans"/>
          <w:color w:val="000000" w:themeColor="text1"/>
        </w:rPr>
        <w:t>If those who collaborate are not learning as much, then I would expect that collaboration information would improve the accuracy of models and would cause predictions for those with more collaboration to have worse test scores. It is also possible that collaboration improves learning, holding grades constant, and that models would predict higher grades for those with more collaboration. I hypothesize that the first is more likely because students are probably doing the minimum amount of work required to get the grade they received.</w:t>
      </w:r>
    </w:p>
    <w:p w14:paraId="56EA29F9" w14:textId="77777777" w:rsidR="004B1B05" w:rsidRDefault="004B1B05">
      <w:pPr>
        <w:rPr>
          <w:rFonts w:ascii="PT Sans" w:hAnsi="PT Sans"/>
        </w:rPr>
      </w:pPr>
    </w:p>
    <w:p w14:paraId="2AAAC31E" w14:textId="740C1117" w:rsidR="00D4719B" w:rsidRDefault="00D4719B">
      <w:pPr>
        <w:rPr>
          <w:rFonts w:ascii="PT Sans" w:hAnsi="PT Sans"/>
          <w:color w:val="000000" w:themeColor="text1"/>
        </w:rPr>
      </w:pPr>
      <w:r w:rsidRPr="00DA6CA9">
        <w:rPr>
          <w:rFonts w:ascii="PT Sans" w:hAnsi="PT Sans"/>
          <w:color w:val="000000" w:themeColor="text1"/>
        </w:rPr>
        <w:t xml:space="preserve">with average grade on problem sets, average in-degree, average number of reciprocal ties, average score of helpers, and average score of </w:t>
      </w:r>
      <w:proofErr w:type="spellStart"/>
      <w:r w:rsidRPr="00DA6CA9">
        <w:rPr>
          <w:rFonts w:ascii="PT Sans" w:hAnsi="PT Sans"/>
          <w:color w:val="000000" w:themeColor="text1"/>
        </w:rPr>
        <w:t>helpees</w:t>
      </w:r>
      <w:proofErr w:type="spellEnd"/>
    </w:p>
    <w:p w14:paraId="479A9123" w14:textId="77777777" w:rsidR="00C9752A" w:rsidRDefault="00C9752A">
      <w:pPr>
        <w:rPr>
          <w:rFonts w:ascii="PT Sans" w:hAnsi="PT Sans"/>
          <w:color w:val="000000" w:themeColor="text1"/>
        </w:rPr>
      </w:pPr>
    </w:p>
    <w:p w14:paraId="2742CC84" w14:textId="77777777" w:rsidR="00C9752A" w:rsidRPr="00621D7F" w:rsidRDefault="00C9752A" w:rsidP="00C9752A">
      <w:pPr>
        <w:pStyle w:val="NormalWeb"/>
        <w:spacing w:before="0" w:beforeAutospacing="0" w:after="0" w:afterAutospacing="0" w:line="480" w:lineRule="auto"/>
        <w:rPr>
          <w:rFonts w:ascii="PT Sans" w:hAnsi="PT Sans"/>
          <w:b/>
          <w:color w:val="000000" w:themeColor="text1"/>
        </w:rPr>
      </w:pPr>
      <w:r>
        <w:rPr>
          <w:rFonts w:ascii="PT Sans" w:hAnsi="PT Sans"/>
          <w:b/>
          <w:color w:val="000000" w:themeColor="text1"/>
        </w:rPr>
        <w:t xml:space="preserve">Non-null hypothesis, probably get rid of </w:t>
      </w:r>
    </w:p>
    <w:p w14:paraId="48ACA238" w14:textId="77777777" w:rsidR="00C9752A" w:rsidRDefault="00C9752A" w:rsidP="00C9752A">
      <w:pPr>
        <w:pStyle w:val="NormalWeb"/>
        <w:spacing w:before="0" w:beforeAutospacing="0" w:after="0" w:afterAutospacing="0" w:line="480" w:lineRule="auto"/>
        <w:ind w:firstLine="720"/>
        <w:rPr>
          <w:rFonts w:ascii="PT Sans" w:eastAsiaTheme="minorEastAsia" w:hAnsi="PT Sans"/>
          <w:color w:val="000000" w:themeColor="text1"/>
        </w:rPr>
      </w:pPr>
      <w:r>
        <w:rPr>
          <w:rFonts w:ascii="PT Sans" w:hAnsi="PT Sans"/>
          <w:color w:val="000000" w:themeColor="text1"/>
        </w:rPr>
        <w:t xml:space="preserve">I also tested a non-null hypothesis with another 1000 simulated sets of grades to test how well it fit the observed trends. The hypothesis I tested takes multiple steps. First, I simulate grades under the null-hypothesis that grades are equal to people’s average grades plus a random error term. The random error term has mean equal to the how much more help than average that student had. Then, I calculate the average grade of the students that each student helped and received help from. Then, I set students’ grade equal to the average of these three numbers (grades of helpers, grades of </w:t>
      </w:r>
      <w:proofErr w:type="spellStart"/>
      <w:r>
        <w:rPr>
          <w:rFonts w:ascii="PT Sans" w:hAnsi="PT Sans"/>
          <w:color w:val="000000" w:themeColor="text1"/>
        </w:rPr>
        <w:t>helpees</w:t>
      </w:r>
      <w:proofErr w:type="spellEnd"/>
      <w:r>
        <w:rPr>
          <w:rFonts w:ascii="PT Sans" w:hAnsi="PT Sans"/>
          <w:color w:val="000000" w:themeColor="text1"/>
        </w:rPr>
        <w:t xml:space="preserve">, and own grade). I penalize students half a point for each of these that is missing.  For tests, I change the error term so that it has mean </w:t>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out</m:t>
            </m:r>
          </m:sub>
        </m:sSub>
        <m:d>
          <m:dPr>
            <m:ctrlPr>
              <w:rPr>
                <w:rFonts w:ascii="Cambria Math" w:hAnsi="Cambria Math"/>
                <w:i/>
                <w:color w:val="000000" w:themeColor="text1"/>
              </w:rPr>
            </m:ctrlPr>
          </m:dPr>
          <m:e>
            <m:r>
              <w:rPr>
                <w:rFonts w:ascii="Cambria Math" w:hAnsi="Cambria Math"/>
                <w:color w:val="000000" w:themeColor="text1"/>
              </w:rPr>
              <m:t>i</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in</m:t>
            </m:r>
          </m:sub>
        </m:sSub>
        <m:d>
          <m:dPr>
            <m:ctrlPr>
              <w:rPr>
                <w:rFonts w:ascii="Cambria Math" w:hAnsi="Cambria Math"/>
                <w:i/>
                <w:color w:val="000000" w:themeColor="text1"/>
              </w:rPr>
            </m:ctrlPr>
          </m:dPr>
          <m:e>
            <m:r>
              <w:rPr>
                <w:rFonts w:ascii="Cambria Math" w:hAnsi="Cambria Math"/>
                <w:color w:val="000000" w:themeColor="text1"/>
              </w:rPr>
              <m:t>i</m:t>
            </m:r>
          </m:e>
        </m:d>
        <m:r>
          <w:rPr>
            <w:rFonts w:ascii="Cambria Math" w:hAnsi="Cambria Math"/>
            <w:color w:val="000000" w:themeColor="text1"/>
          </w:rPr>
          <m:t>)</m:t>
        </m:r>
      </m:oMath>
      <w:r>
        <w:rPr>
          <w:rFonts w:ascii="PT Sans" w:eastAsiaTheme="minorEastAsia" w:hAnsi="PT Sans"/>
          <w:color w:val="000000" w:themeColor="text1"/>
        </w:rPr>
        <w:t xml:space="preserve"> for student </w:t>
      </w:r>
      <m:oMath>
        <m:r>
          <w:rPr>
            <w:rFonts w:ascii="Cambria Math" w:eastAsiaTheme="minorEastAsia" w:hAnsi="Cambria Math"/>
            <w:color w:val="000000" w:themeColor="text1"/>
          </w:rPr>
          <m:t>i</m:t>
        </m:r>
      </m:oMath>
      <w:r>
        <w:rPr>
          <w:rFonts w:ascii="PT Sans" w:eastAsiaTheme="minorEastAsia" w:hAnsi="PT Sans"/>
          <w:color w:val="000000" w:themeColor="text1"/>
        </w:rPr>
        <w:t xml:space="preserve"> and the same standard deviation as before. </w:t>
      </w:r>
    </w:p>
    <w:p w14:paraId="21D81603" w14:textId="77777777" w:rsidR="00C9752A" w:rsidRDefault="00C9752A" w:rsidP="00C9752A">
      <w:pPr>
        <w:pStyle w:val="NormalWeb"/>
        <w:spacing w:before="0" w:beforeAutospacing="0" w:after="0" w:afterAutospacing="0" w:line="480" w:lineRule="auto"/>
        <w:ind w:firstLine="720"/>
        <w:rPr>
          <w:rFonts w:ascii="PT Sans" w:eastAsiaTheme="minorEastAsia" w:hAnsi="PT Sans"/>
          <w:color w:val="000000" w:themeColor="text1"/>
        </w:rPr>
      </w:pPr>
      <w:r>
        <w:rPr>
          <w:rFonts w:ascii="PT Sans" w:eastAsiaTheme="minorEastAsia" w:hAnsi="PT Sans"/>
          <w:color w:val="000000" w:themeColor="text1"/>
        </w:rPr>
        <w:t xml:space="preserve">This method recreates the trends on the tests well. The 95% confidence intervals for </w:t>
      </w:r>
      <w:proofErr w:type="gramStart"/>
      <w:r>
        <w:rPr>
          <w:rFonts w:ascii="PT Sans" w:eastAsiaTheme="minorEastAsia" w:hAnsi="PT Sans"/>
          <w:color w:val="000000" w:themeColor="text1"/>
        </w:rPr>
        <w:t>all of</w:t>
      </w:r>
      <w:proofErr w:type="gramEnd"/>
      <w:r>
        <w:rPr>
          <w:rFonts w:ascii="PT Sans" w:eastAsiaTheme="minorEastAsia" w:hAnsi="PT Sans"/>
          <w:color w:val="000000" w:themeColor="text1"/>
        </w:rPr>
        <w:t xml:space="preserve"> the coefficients that were statistically significant in the original regression do not include 0 and all have the same sign as they do in the original. While the values of the coefficients are different, this suggests that the trends in test performance can at least be partially recreated by penalizing those who have received more help than they gave and rewarding those who gave more help than they received. </w:t>
      </w:r>
    </w:p>
    <w:p w14:paraId="79D1387E" w14:textId="77777777" w:rsidR="00C9752A" w:rsidRPr="00827420" w:rsidRDefault="00C9752A" w:rsidP="00C9752A">
      <w:pPr>
        <w:pStyle w:val="NormalWeb"/>
        <w:spacing w:before="0" w:beforeAutospacing="0" w:after="0" w:afterAutospacing="0" w:line="480" w:lineRule="auto"/>
        <w:ind w:firstLine="720"/>
        <w:rPr>
          <w:rFonts w:ascii="PT Sans" w:eastAsiaTheme="minorEastAsia" w:hAnsi="PT Sans"/>
          <w:color w:val="000000" w:themeColor="text1"/>
        </w:rPr>
      </w:pPr>
      <w:r>
        <w:rPr>
          <w:rFonts w:ascii="PT Sans" w:eastAsiaTheme="minorEastAsia" w:hAnsi="PT Sans"/>
          <w:color w:val="000000" w:themeColor="text1"/>
        </w:rPr>
        <w:t xml:space="preserve">This method did nothing to change the performance of the two random forests compared to the null hypothesis and did not lead to any significant coefficients for the linear model predicting homework scores. This illustrates that this average scheme is not the way that collaboration is correlated with peoples’ grades. </w:t>
      </w:r>
    </w:p>
    <w:p w14:paraId="0FBED6CA" w14:textId="77777777" w:rsidR="00C9752A" w:rsidRDefault="00C9752A">
      <w:bookmarkStart w:id="0" w:name="_GoBack"/>
      <w:bookmarkEnd w:id="0"/>
    </w:p>
    <w:sectPr w:rsidR="00C9752A" w:rsidSect="00A85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CC"/>
    <w:family w:val="auto"/>
    <w:pitch w:val="variable"/>
    <w:sig w:usb0="A00002EF" w:usb1="5000204B" w:usb2="00000000" w:usb3="00000000" w:csb0="00000097"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8D6"/>
    <w:rsid w:val="000E4070"/>
    <w:rsid w:val="00266A41"/>
    <w:rsid w:val="00341F32"/>
    <w:rsid w:val="00483E75"/>
    <w:rsid w:val="004B1B05"/>
    <w:rsid w:val="004D239F"/>
    <w:rsid w:val="005F6438"/>
    <w:rsid w:val="00633CB1"/>
    <w:rsid w:val="007C58D6"/>
    <w:rsid w:val="00913925"/>
    <w:rsid w:val="009A46D9"/>
    <w:rsid w:val="00A85858"/>
    <w:rsid w:val="00C9752A"/>
    <w:rsid w:val="00CD3953"/>
    <w:rsid w:val="00CF2174"/>
    <w:rsid w:val="00D4719B"/>
    <w:rsid w:val="00ED79D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58218B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64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752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655</Words>
  <Characters>3497</Characters>
  <Application>Microsoft Macintosh Word</Application>
  <DocSecurity>0</DocSecurity>
  <Lines>53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Evan</dc:creator>
  <cp:keywords/>
  <dc:description/>
  <cp:lastModifiedBy>Green, Evan</cp:lastModifiedBy>
  <cp:revision>8</cp:revision>
  <dcterms:created xsi:type="dcterms:W3CDTF">2017-04-16T18:26:00Z</dcterms:created>
  <dcterms:modified xsi:type="dcterms:W3CDTF">2017-04-17T02:22:00Z</dcterms:modified>
</cp:coreProperties>
</file>