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A6A8" w14:textId="7240DD87" w:rsidR="0099535F" w:rsidRPr="0099535F" w:rsidRDefault="0099535F" w:rsidP="009953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99535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 </w:t>
      </w:r>
      <w:r w:rsidRPr="0099535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highlight w:val="darkYellow"/>
          <w14:ligatures w14:val="none"/>
        </w:rPr>
        <w:t xml:space="preserve">Guidelines </w:t>
      </w:r>
      <w:r w:rsidRPr="0099535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highlight w:val="darkYellow"/>
          <w14:ligatures w14:val="none"/>
        </w:rPr>
        <w:t>on the Viva Assessment</w:t>
      </w:r>
    </w:p>
    <w:p w14:paraId="1092723F" w14:textId="5F594D7C" w:rsidR="0099535F" w:rsidRPr="0099535F" w:rsidRDefault="0099535F" w:rsidP="0099535F">
      <w:pPr>
        <w:shd w:val="clear" w:color="auto" w:fill="4472C4" w:themeFill="accent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To maintain 4th-year university standards,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Students 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should </w:t>
      </w:r>
      <w:r>
        <w:rPr>
          <w:rFonts w:ascii="Times New Roman" w:eastAsia="Times New Roman" w:hAnsi="Times New Roman" w:cs="Times New Roman"/>
          <w:kern w:val="0"/>
          <w14:ligatures w14:val="none"/>
        </w:rPr>
        <w:t>exhibit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"Quality Indicators":</w:t>
      </w:r>
    </w:p>
    <w:p w14:paraId="5D358E10" w14:textId="2BD4FD13" w:rsidR="0099535F" w:rsidRPr="0099535F" w:rsidRDefault="0099535F" w:rsidP="0099535F">
      <w:pPr>
        <w:numPr>
          <w:ilvl w:val="0"/>
          <w:numId w:val="1"/>
        </w:numPr>
        <w:shd w:val="clear" w:color="auto" w:fill="FFC000" w:themeFill="accent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of Legal Citations: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While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aren't expected to memorize every page,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should correctly identify key Acts mentioned in the policy (e.g., </w:t>
      </w:r>
      <w:r w:rsidRPr="009953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Lands Act Cap 184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953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Lands and Deeds Registry Act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A97D7F9" w14:textId="77777777" w:rsidR="0099535F" w:rsidRPr="0099535F" w:rsidRDefault="0099535F" w:rsidP="0099535F">
      <w:pPr>
        <w:numPr>
          <w:ilvl w:val="0"/>
          <w:numId w:val="1"/>
        </w:numPr>
        <w:shd w:val="clear" w:color="auto" w:fill="FFC000" w:themeFill="accent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2035 Context: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Answers regarding the policy's goals should ideally reference the overarching vision of "transparent land administration for inclusive sustainable development."</w:t>
      </w:r>
    </w:p>
    <w:p w14:paraId="5E455554" w14:textId="5DCCED7D" w:rsidR="0099535F" w:rsidRPr="0099535F" w:rsidRDefault="0099535F" w:rsidP="0099535F">
      <w:pPr>
        <w:numPr>
          <w:ilvl w:val="0"/>
          <w:numId w:val="1"/>
        </w:numPr>
        <w:shd w:val="clear" w:color="auto" w:fill="FFC000" w:themeFill="accent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Terminology: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e.g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istinction between </w:t>
      </w:r>
      <w:r w:rsidRPr="00995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Land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95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Customary Land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must be absolute. Using terms like "Alienation," "Tenure Security," and "Spatial Data" correctly earns full marks.</w:t>
      </w:r>
    </w:p>
    <w:p w14:paraId="24E76A9C" w14:textId="74D63A27" w:rsidR="0099535F" w:rsidRPr="0099535F" w:rsidRDefault="0099535F" w:rsidP="0099535F">
      <w:pPr>
        <w:numPr>
          <w:ilvl w:val="0"/>
          <w:numId w:val="1"/>
        </w:numPr>
        <w:shd w:val="clear" w:color="auto" w:fill="FFC000" w:themeFill="accent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Cross-Cutting Knowledge: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(Gender/Youth),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should show an understanding of </w:t>
      </w:r>
      <w:r w:rsidRPr="009953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99535F">
        <w:rPr>
          <w:rFonts w:ascii="Times New Roman" w:eastAsia="Times New Roman" w:hAnsi="Times New Roman" w:cs="Times New Roman"/>
          <w:kern w:val="0"/>
          <w14:ligatures w14:val="none"/>
        </w:rPr>
        <w:t xml:space="preserve"> the 50/20/30% quotas exist (addressing historical imbalances).</w:t>
      </w:r>
    </w:p>
    <w:p w14:paraId="0E714923" w14:textId="438B568A" w:rsidR="0099535F" w:rsidRDefault="0099535F"/>
    <w:sectPr w:rsidR="00995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807"/>
    <w:multiLevelType w:val="multilevel"/>
    <w:tmpl w:val="E6D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9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5F"/>
    <w:rsid w:val="0099535F"/>
    <w:rsid w:val="009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56C4"/>
  <w15:chartTrackingRefBased/>
  <w15:docId w15:val="{269CAB9F-A4F4-48CB-B898-73F1DD5B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bwalya.mutale.writer@gmail.com</dc:creator>
  <cp:keywords/>
  <dc:description/>
  <cp:lastModifiedBy>bwalya.mutale.writer@gmail.com</cp:lastModifiedBy>
  <cp:revision>1</cp:revision>
  <dcterms:created xsi:type="dcterms:W3CDTF">2026-02-10T06:58:00Z</dcterms:created>
  <dcterms:modified xsi:type="dcterms:W3CDTF">2026-02-10T07:09:00Z</dcterms:modified>
</cp:coreProperties>
</file>