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B0B27B" w14:textId="3475CF41" w:rsidR="001B3AB3" w:rsidRPr="001B3AB3" w:rsidRDefault="005546B6" w:rsidP="001B3AB3">
      <w:pPr>
        <w:pStyle w:val="tabletext"/>
        <w:jc w:val="center"/>
        <w:rPr>
          <w:sz w:val="32"/>
          <w:szCs w:val="32"/>
        </w:rPr>
      </w:pPr>
      <w:bookmarkStart w:id="0" w:name="_Hlk74508100"/>
      <w:r w:rsidRPr="005546B6">
        <w:rPr>
          <w:b/>
          <w:bCs/>
          <w:sz w:val="32"/>
          <w:szCs w:val="32"/>
        </w:rPr>
        <w:t xml:space="preserve">EIDC dataset </w:t>
      </w:r>
      <w:r w:rsidR="009D0CA9">
        <w:rPr>
          <w:b/>
          <w:bCs/>
          <w:sz w:val="32"/>
          <w:szCs w:val="32"/>
        </w:rPr>
        <w:t>2</w:t>
      </w:r>
      <w:r w:rsidRPr="005546B6">
        <w:rPr>
          <w:b/>
          <w:bCs/>
          <w:sz w:val="32"/>
          <w:szCs w:val="32"/>
        </w:rPr>
        <w:t>:</w:t>
      </w:r>
      <w:r>
        <w:rPr>
          <w:sz w:val="32"/>
          <w:szCs w:val="32"/>
        </w:rPr>
        <w:br/>
      </w:r>
      <w:r w:rsidR="005664DA" w:rsidRPr="005664DA">
        <w:rPr>
          <w:sz w:val="32"/>
          <w:szCs w:val="32"/>
        </w:rPr>
        <w:t>Caterpillar masses from grass margins and hedgerows under streetlights, Oxfordshire, UK, 2018-2020</w:t>
      </w:r>
    </w:p>
    <w:p w14:paraId="695B4BC3" w14:textId="77777777" w:rsidR="001B3AB3" w:rsidRDefault="001B3AB3" w:rsidP="007542D0">
      <w:pPr>
        <w:spacing w:line="276" w:lineRule="auto"/>
        <w:jc w:val="center"/>
        <w:rPr>
          <w:rFonts w:cs="Calibri"/>
          <w:b/>
          <w:bCs/>
          <w:sz w:val="28"/>
          <w:szCs w:val="28"/>
        </w:rPr>
      </w:pPr>
    </w:p>
    <w:p w14:paraId="54985ADA" w14:textId="16B0B42B" w:rsidR="0076751A" w:rsidRDefault="001B3AB3" w:rsidP="007542D0">
      <w:pPr>
        <w:spacing w:line="276" w:lineRule="auto"/>
        <w:jc w:val="center"/>
        <w:rPr>
          <w:rFonts w:cs="Calibri"/>
          <w:sz w:val="28"/>
          <w:szCs w:val="28"/>
        </w:rPr>
      </w:pPr>
      <w:r>
        <w:rPr>
          <w:rFonts w:cs="Calibri"/>
          <w:b/>
          <w:bCs/>
          <w:sz w:val="28"/>
          <w:szCs w:val="28"/>
        </w:rPr>
        <w:t xml:space="preserve">The following document </w:t>
      </w:r>
      <w:r w:rsidR="00563CEB">
        <w:rPr>
          <w:rFonts w:cs="Calibri"/>
          <w:b/>
          <w:bCs/>
          <w:sz w:val="28"/>
          <w:szCs w:val="28"/>
        </w:rPr>
        <w:t>makes use of the methods included in the following study</w:t>
      </w:r>
      <w:r w:rsidR="007542D0" w:rsidRPr="005274FA">
        <w:rPr>
          <w:rFonts w:cs="Calibri"/>
          <w:b/>
          <w:bCs/>
          <w:sz w:val="28"/>
          <w:szCs w:val="28"/>
        </w:rPr>
        <w:t>:</w:t>
      </w:r>
      <w:r w:rsidR="004A7425" w:rsidRPr="005274FA">
        <w:rPr>
          <w:rFonts w:cs="Calibri"/>
          <w:b/>
          <w:bCs/>
          <w:sz w:val="28"/>
          <w:szCs w:val="28"/>
        </w:rPr>
        <w:t xml:space="preserve"> </w:t>
      </w:r>
      <w:bookmarkStart w:id="1" w:name="_Hlk68009695"/>
      <w:r w:rsidR="00322E4B">
        <w:rPr>
          <w:rFonts w:cs="Calibri"/>
          <w:b/>
          <w:bCs/>
          <w:sz w:val="28"/>
          <w:szCs w:val="28"/>
        </w:rPr>
        <w:br/>
      </w:r>
      <w:r w:rsidR="004A7425" w:rsidRPr="005274FA">
        <w:rPr>
          <w:rFonts w:cs="Calibri"/>
          <w:sz w:val="28"/>
          <w:szCs w:val="28"/>
        </w:rPr>
        <w:t>Street lighting has detrimental impacts on local insect populations</w:t>
      </w:r>
      <w:bookmarkEnd w:id="1"/>
      <w:r w:rsidR="00D15FAF">
        <w:rPr>
          <w:rFonts w:cs="Calibri"/>
          <w:sz w:val="28"/>
          <w:szCs w:val="28"/>
        </w:rPr>
        <w:t xml:space="preserve"> </w:t>
      </w:r>
    </w:p>
    <w:p w14:paraId="155A674C" w14:textId="5C1DEA2B" w:rsidR="0003404F" w:rsidRPr="005274FA" w:rsidRDefault="0003404F" w:rsidP="007542D0">
      <w:pPr>
        <w:spacing w:line="276" w:lineRule="auto"/>
        <w:jc w:val="center"/>
        <w:rPr>
          <w:rFonts w:cs="Calibri"/>
          <w:b/>
          <w:bCs/>
          <w:strike/>
          <w:sz w:val="32"/>
          <w:szCs w:val="32"/>
        </w:rPr>
      </w:pPr>
      <w:r w:rsidRPr="00D15FAF">
        <w:rPr>
          <w:rFonts w:cs="Calibri"/>
          <w:i/>
          <w:iCs/>
          <w:sz w:val="28"/>
          <w:szCs w:val="28"/>
        </w:rPr>
        <w:t>Science Advances</w:t>
      </w:r>
      <w:r>
        <w:rPr>
          <w:rFonts w:cs="Calibri"/>
          <w:sz w:val="28"/>
          <w:szCs w:val="28"/>
        </w:rPr>
        <w:t>. 2021</w:t>
      </w:r>
      <w:r w:rsidR="00D15FAF">
        <w:rPr>
          <w:rFonts w:cs="Calibri"/>
          <w:sz w:val="28"/>
          <w:szCs w:val="28"/>
        </w:rPr>
        <w:t>.</w:t>
      </w:r>
      <w:r w:rsidR="00651A51">
        <w:rPr>
          <w:rFonts w:cs="Calibri"/>
          <w:sz w:val="28"/>
          <w:szCs w:val="28"/>
        </w:rPr>
        <w:t xml:space="preserve"> (</w:t>
      </w:r>
      <w:r w:rsidR="00563CEB">
        <w:rPr>
          <w:rFonts w:cs="Calibri"/>
          <w:sz w:val="28"/>
          <w:szCs w:val="28"/>
        </w:rPr>
        <w:t xml:space="preserve">reproduced here under a creative commons licence: </w:t>
      </w:r>
      <w:r w:rsidR="00651A51" w:rsidRPr="00D15FAF">
        <w:rPr>
          <w:rFonts w:cs="Calibri"/>
          <w:sz w:val="28"/>
          <w:szCs w:val="28"/>
        </w:rPr>
        <w:t>CC BY-NC</w:t>
      </w:r>
      <w:r w:rsidR="00651A51">
        <w:rPr>
          <w:rFonts w:cs="Calibri"/>
          <w:sz w:val="28"/>
          <w:szCs w:val="28"/>
        </w:rPr>
        <w:t>)</w:t>
      </w:r>
      <w:r w:rsidR="000A6304">
        <w:rPr>
          <w:rFonts w:cs="Calibri"/>
          <w:sz w:val="28"/>
          <w:szCs w:val="28"/>
        </w:rPr>
        <w:t>.</w:t>
      </w:r>
    </w:p>
    <w:p w14:paraId="73E23AA1" w14:textId="5696DD23" w:rsidR="0076751A" w:rsidRPr="005274FA" w:rsidRDefault="007542D0" w:rsidP="007542D0">
      <w:pPr>
        <w:jc w:val="center"/>
        <w:rPr>
          <w:rFonts w:eastAsia="Times New Roman" w:cs="Calibri"/>
          <w:bCs/>
          <w:sz w:val="24"/>
          <w:szCs w:val="24"/>
          <w:vertAlign w:val="superscript"/>
        </w:rPr>
      </w:pPr>
      <w:r w:rsidRPr="005274FA">
        <w:rPr>
          <w:rFonts w:eastAsia="Times New Roman" w:cs="Calibri"/>
          <w:b/>
          <w:sz w:val="24"/>
          <w:szCs w:val="24"/>
        </w:rPr>
        <w:t>Authors:</w:t>
      </w:r>
      <w:r w:rsidRPr="005274FA">
        <w:rPr>
          <w:rFonts w:eastAsia="Times New Roman" w:cs="Calibri"/>
          <w:bCs/>
          <w:sz w:val="24"/>
          <w:szCs w:val="24"/>
        </w:rPr>
        <w:t xml:space="preserve"> </w:t>
      </w:r>
      <w:r w:rsidR="0076751A" w:rsidRPr="005274FA">
        <w:rPr>
          <w:rFonts w:eastAsia="Times New Roman" w:cs="Calibri"/>
          <w:bCs/>
          <w:sz w:val="24"/>
          <w:szCs w:val="24"/>
        </w:rPr>
        <w:t>Douglas H. Boyes</w:t>
      </w:r>
      <w:r w:rsidR="0076751A" w:rsidRPr="005274FA">
        <w:rPr>
          <w:rFonts w:eastAsia="Times New Roman" w:cs="Calibri"/>
          <w:bCs/>
          <w:sz w:val="24"/>
          <w:szCs w:val="24"/>
          <w:vertAlign w:val="superscript"/>
        </w:rPr>
        <w:t>1,2,3*</w:t>
      </w:r>
      <w:r w:rsidR="0076751A" w:rsidRPr="005274FA">
        <w:rPr>
          <w:rFonts w:eastAsia="Times New Roman" w:cs="Calibri"/>
          <w:bCs/>
          <w:sz w:val="24"/>
          <w:szCs w:val="24"/>
        </w:rPr>
        <w:t>, Darren M. Evans</w:t>
      </w:r>
      <w:r w:rsidR="0076751A" w:rsidRPr="005274FA">
        <w:rPr>
          <w:rFonts w:eastAsia="Times New Roman" w:cs="Calibri"/>
          <w:bCs/>
          <w:sz w:val="24"/>
          <w:szCs w:val="24"/>
          <w:vertAlign w:val="superscript"/>
        </w:rPr>
        <w:t>2</w:t>
      </w:r>
      <w:r w:rsidR="0076751A" w:rsidRPr="005274FA">
        <w:rPr>
          <w:rFonts w:eastAsia="Times New Roman" w:cs="Calibri"/>
          <w:bCs/>
          <w:sz w:val="24"/>
          <w:szCs w:val="24"/>
        </w:rPr>
        <w:t>, Richard Fox</w:t>
      </w:r>
      <w:r w:rsidR="0076751A" w:rsidRPr="005274FA">
        <w:rPr>
          <w:rFonts w:eastAsia="Times New Roman" w:cs="Calibri"/>
          <w:bCs/>
          <w:sz w:val="24"/>
          <w:szCs w:val="24"/>
          <w:vertAlign w:val="superscript"/>
        </w:rPr>
        <w:t>3</w:t>
      </w:r>
      <w:r w:rsidR="0076751A" w:rsidRPr="005274FA">
        <w:rPr>
          <w:rFonts w:eastAsia="Times New Roman" w:cs="Calibri"/>
          <w:bCs/>
          <w:sz w:val="24"/>
          <w:szCs w:val="24"/>
        </w:rPr>
        <w:t>, Mark S. Parsons</w:t>
      </w:r>
      <w:r w:rsidR="0076751A" w:rsidRPr="005274FA">
        <w:rPr>
          <w:rFonts w:eastAsia="Times New Roman" w:cs="Calibri"/>
          <w:bCs/>
          <w:sz w:val="24"/>
          <w:szCs w:val="24"/>
          <w:vertAlign w:val="superscript"/>
        </w:rPr>
        <w:t>3</w:t>
      </w:r>
      <w:r w:rsidRPr="005274FA">
        <w:rPr>
          <w:rFonts w:eastAsia="Times New Roman" w:cs="Calibri"/>
          <w:bCs/>
          <w:sz w:val="24"/>
          <w:szCs w:val="24"/>
        </w:rPr>
        <w:t>,</w:t>
      </w:r>
      <w:r w:rsidRPr="005274FA">
        <w:rPr>
          <w:rFonts w:eastAsia="Times New Roman" w:cs="Calibri"/>
          <w:bCs/>
          <w:sz w:val="24"/>
          <w:szCs w:val="24"/>
        </w:rPr>
        <w:br/>
      </w:r>
      <w:r w:rsidR="0076751A" w:rsidRPr="005274FA">
        <w:rPr>
          <w:rFonts w:eastAsia="Times New Roman" w:cs="Calibri"/>
          <w:bCs/>
          <w:sz w:val="24"/>
          <w:szCs w:val="24"/>
        </w:rPr>
        <w:t xml:space="preserve"> Michael J.O. Pocock</w:t>
      </w:r>
      <w:r w:rsidR="0076751A" w:rsidRPr="005274FA">
        <w:rPr>
          <w:rFonts w:eastAsia="Times New Roman" w:cs="Calibri"/>
          <w:bCs/>
          <w:sz w:val="24"/>
          <w:szCs w:val="24"/>
          <w:vertAlign w:val="superscript"/>
        </w:rPr>
        <w:t>1</w:t>
      </w:r>
    </w:p>
    <w:p w14:paraId="5FB4D598" w14:textId="320C5377" w:rsidR="007542D0" w:rsidRPr="005274FA" w:rsidRDefault="007542D0" w:rsidP="0076751A">
      <w:pPr>
        <w:rPr>
          <w:b/>
          <w:bCs/>
        </w:rPr>
      </w:pPr>
      <w:r w:rsidRPr="005274FA">
        <w:rPr>
          <w:b/>
          <w:bCs/>
        </w:rPr>
        <w:t>Affiliations:</w:t>
      </w:r>
    </w:p>
    <w:p w14:paraId="50F127C4" w14:textId="003905B9" w:rsidR="007542D0" w:rsidRPr="005274FA" w:rsidRDefault="0076751A" w:rsidP="007542D0">
      <w:pPr>
        <w:spacing w:line="276" w:lineRule="auto"/>
      </w:pPr>
      <w:r w:rsidRPr="005274FA">
        <w:rPr>
          <w:rFonts w:eastAsia="Times New Roman"/>
          <w:vertAlign w:val="superscript"/>
        </w:rPr>
        <w:t xml:space="preserve">1 </w:t>
      </w:r>
      <w:r w:rsidRPr="005274FA">
        <w:rPr>
          <w:rFonts w:eastAsia="Times New Roman"/>
        </w:rPr>
        <w:t xml:space="preserve">UK Centre for Ecology </w:t>
      </w:r>
      <w:r w:rsidR="00840EE6" w:rsidRPr="005274FA">
        <w:rPr>
          <w:rFonts w:eastAsia="Times New Roman"/>
        </w:rPr>
        <w:t xml:space="preserve">&amp; </w:t>
      </w:r>
      <w:r w:rsidRPr="005274FA">
        <w:rPr>
          <w:rFonts w:eastAsia="Times New Roman"/>
        </w:rPr>
        <w:t>Hydrology</w:t>
      </w:r>
      <w:r w:rsidR="007542D0" w:rsidRPr="005274FA">
        <w:rPr>
          <w:rFonts w:eastAsia="Times New Roman"/>
        </w:rPr>
        <w:t xml:space="preserve">; </w:t>
      </w:r>
      <w:r w:rsidRPr="005274FA">
        <w:rPr>
          <w:rFonts w:eastAsia="Times New Roman"/>
        </w:rPr>
        <w:t xml:space="preserve">Wallingford, OX10 8BB, UK. </w:t>
      </w:r>
      <w:r w:rsidR="004B6DF3" w:rsidRPr="005274FA">
        <w:rPr>
          <w:rFonts w:eastAsia="Times New Roman"/>
        </w:rPr>
        <w:br/>
      </w:r>
      <w:r w:rsidRPr="005274FA">
        <w:rPr>
          <w:rFonts w:eastAsia="Times New Roman"/>
          <w:vertAlign w:val="superscript"/>
        </w:rPr>
        <w:t xml:space="preserve">2 </w:t>
      </w:r>
      <w:r w:rsidRPr="005274FA">
        <w:rPr>
          <w:rFonts w:eastAsia="Times New Roman"/>
        </w:rPr>
        <w:t>School of Natural and Environmental Sciences, Newcastle University</w:t>
      </w:r>
      <w:r w:rsidR="007542D0" w:rsidRPr="005274FA">
        <w:rPr>
          <w:rFonts w:eastAsia="Times New Roman"/>
        </w:rPr>
        <w:t>;</w:t>
      </w:r>
      <w:r w:rsidRPr="005274FA">
        <w:rPr>
          <w:rFonts w:eastAsia="Times New Roman"/>
        </w:rPr>
        <w:t xml:space="preserve"> Newcastle upon Tyne, NE1 7RU, UK. </w:t>
      </w:r>
      <w:r w:rsidR="004B6DF3" w:rsidRPr="005274FA">
        <w:rPr>
          <w:rFonts w:eastAsia="Times New Roman"/>
        </w:rPr>
        <w:br/>
      </w:r>
      <w:r w:rsidRPr="005274FA">
        <w:rPr>
          <w:rFonts w:eastAsia="Times New Roman"/>
          <w:vertAlign w:val="superscript"/>
        </w:rPr>
        <w:t xml:space="preserve">3 </w:t>
      </w:r>
      <w:r w:rsidRPr="005274FA">
        <w:rPr>
          <w:rFonts w:eastAsia="Times New Roman"/>
        </w:rPr>
        <w:t>Butterfly Conservation</w:t>
      </w:r>
      <w:r w:rsidR="007542D0" w:rsidRPr="005274FA">
        <w:rPr>
          <w:rFonts w:eastAsia="Times New Roman"/>
        </w:rPr>
        <w:t>;</w:t>
      </w:r>
      <w:r w:rsidRPr="005274FA">
        <w:rPr>
          <w:rFonts w:eastAsia="Times New Roman"/>
        </w:rPr>
        <w:t xml:space="preserve"> Wareham, Dorset, BH20 5QP, UK.</w:t>
      </w:r>
      <w:r w:rsidR="004B6DF3" w:rsidRPr="005274FA">
        <w:rPr>
          <w:rFonts w:eastAsia="Times New Roman"/>
        </w:rPr>
        <w:br/>
      </w:r>
      <w:r w:rsidR="007542D0" w:rsidRPr="005274FA">
        <w:t xml:space="preserve">*Corresponding author. E-mail: </w:t>
      </w:r>
      <w:hyperlink r:id="rId8" w:history="1">
        <w:r w:rsidR="007542D0" w:rsidRPr="005274FA">
          <w:rPr>
            <w:rStyle w:val="Hyperlink"/>
            <w:color w:val="auto"/>
          </w:rPr>
          <w:t>info@douglasboyes.co.uk</w:t>
        </w:r>
      </w:hyperlink>
    </w:p>
    <w:p w14:paraId="636AD686" w14:textId="77777777" w:rsidR="0003404F" w:rsidRDefault="0003404F" w:rsidP="00866929">
      <w:pPr>
        <w:spacing w:line="480" w:lineRule="auto"/>
        <w:rPr>
          <w:b/>
          <w:bCs/>
        </w:rPr>
      </w:pPr>
    </w:p>
    <w:p w14:paraId="73795006" w14:textId="77777777" w:rsidR="00BA38DA" w:rsidRPr="00B14D58" w:rsidRDefault="00BA38DA" w:rsidP="00BA38DA">
      <w:pPr>
        <w:spacing w:line="360" w:lineRule="auto"/>
        <w:rPr>
          <w:b/>
          <w:bCs/>
        </w:rPr>
      </w:pPr>
      <w:r w:rsidRPr="00B14D58">
        <w:rPr>
          <w:b/>
          <w:bCs/>
        </w:rPr>
        <w:t>Field sites</w:t>
      </w:r>
    </w:p>
    <w:p w14:paraId="0FFFF317" w14:textId="77777777" w:rsidR="00BA38DA" w:rsidRPr="005274FA" w:rsidRDefault="00BA38DA" w:rsidP="00BA38DA">
      <w:pPr>
        <w:spacing w:line="360" w:lineRule="auto"/>
      </w:pPr>
      <w:r w:rsidRPr="005274FA">
        <w:t xml:space="preserve">We compared moth caterpillar communities at lit and unlit sections of sites within a matched-pairs design in two types of habitats: hedgerows and grass margins (which each employed different sampling methods). Twenty-six pairs of sites were used, where a comparable linear section of both lit and unlit habitat was present. One additional site was a triplet (one unlit section, two sections lit with different street light types). All sites represented contiguous, linear strips of habitat, with lit and unlit sections separated by </w:t>
      </w:r>
      <w:r w:rsidRPr="005274FA">
        <w:rPr>
          <w:rFonts w:cs="Calibri"/>
        </w:rPr>
        <w:t>≥</w:t>
      </w:r>
      <w:r w:rsidRPr="005274FA">
        <w:t>60 m (median: 118 m, range 60-527 m).</w:t>
      </w:r>
    </w:p>
    <w:p w14:paraId="691D6509" w14:textId="77777777" w:rsidR="00BA38DA" w:rsidRPr="005274FA" w:rsidRDefault="00BA38DA" w:rsidP="00BA38DA">
      <w:pPr>
        <w:spacing w:line="360" w:lineRule="auto"/>
      </w:pPr>
      <w:r w:rsidRPr="005274FA">
        <w:t>Potential pairs were detected by overlaying spatial datasets of street lights covering the counties of Oxfordshire, Buckinghamshire, and Berkshire (southern England, UK) on satellite imagery to identify linear sections of habitat lit by at least one street light. Using Google Street View, ‘virtual site visits’ were then made to over 500 locations to identify whether contiguous and comparable habitat existed for lit and unlit transects. Of these, 153 locations were then visited in person to assess whether the matching criteria were me</w:t>
      </w:r>
      <w:r>
        <w:t>t</w:t>
      </w:r>
      <w:r w:rsidRPr="005274FA">
        <w:t xml:space="preserve">. This produced 26 pairs and one triplet where lit and unlit sections of habitat appeared identical, except for the presence of </w:t>
      </w:r>
      <w:r>
        <w:t>Artificial Light At Night (</w:t>
      </w:r>
      <w:r w:rsidRPr="005274FA">
        <w:t>ALAN</w:t>
      </w:r>
      <w:r>
        <w:t>)</w:t>
      </w:r>
      <w:r w:rsidRPr="005274FA">
        <w:t>.</w:t>
      </w:r>
    </w:p>
    <w:p w14:paraId="27BA0681" w14:textId="77777777" w:rsidR="00BA38DA" w:rsidRPr="005274FA" w:rsidRDefault="00BA38DA" w:rsidP="00BA38DA">
      <w:pPr>
        <w:spacing w:line="360" w:lineRule="auto"/>
      </w:pPr>
      <w:r w:rsidRPr="005274FA">
        <w:lastRenderedPageBreak/>
        <w:t>The street light treatments reflect the current lighting technologies used in the region. These were predominately LED and</w:t>
      </w:r>
      <w:r>
        <w:t xml:space="preserve"> high-pressure sodium</w:t>
      </w:r>
      <w:r w:rsidRPr="005274FA">
        <w:t xml:space="preserve"> </w:t>
      </w:r>
      <w:r>
        <w:t>(</w:t>
      </w:r>
      <w:r w:rsidRPr="005274FA">
        <w:t>HPS</w:t>
      </w:r>
      <w:r>
        <w:t>)</w:t>
      </w:r>
      <w:r w:rsidRPr="005274FA">
        <w:t>, with two low-pressure sodium</w:t>
      </w:r>
      <w:r>
        <w:t xml:space="preserve"> (LPS)</w:t>
      </w:r>
      <w:r w:rsidRPr="005274FA">
        <w:t xml:space="preserve"> sites (14 HPS transects, 11 LED transects, and 2 LPS transects). According to the data provided by the relevant local authority, the lit transects had been illuminated by the same lighting treatment type for at least five years, so any differences in moth communities represent long-term impacts. The lit sections of all study sites remained fully lit for the entire night; all field sites were visited at least once between 02:00 – 04:00 to confirm that part-night lighting or dimming was not in operation. The lit sites were often illuminated by street lights on junctions or roundabouts in a rural setting, meaning the effects of ALAN were largely independent of urbanisation, which can have deleterious impacts on moth communities </w:t>
      </w:r>
      <w:r w:rsidRPr="005274FA">
        <w:fldChar w:fldCharType="begin" w:fldLock="1"/>
      </w:r>
      <w:r>
        <w:instrText>ADDIN CSL_CITATION {"citationItems":[{"id":"ITEM-1","itemData":{"author":[{"dropping-particle":"","family":"Merckx","given":"Thomas","non-dropping-particle":"","parse-names":false,"suffix":""},{"dropping-particle":"","family":"Dyck","given":"Hans","non-dropping-particle":"Van","parse-names":false,"suffix":""}],"container-title":"Global Ecology and Biogeography","id":"ITEM-1","issue":"10","issued":{"date-parts":[["2019"]]},"page":"1440-1455","publisher":"Wiley Online Library","title":"Urbanization-driven homogenization is more pronounced and happens at wider spatial scales in nocturnal and mobile flying insects","type":"article-journal","volume":"28"},"uris":["http://www.mendeley.com/documents/?uuid=7a7172f3-3a3d-4f5d-b2a4-4efe6dba0726"]}],"mendeley":{"formattedCitation":"(Merckx &amp; Van Dyck, 2019)","plainTextFormattedCitation":"(Merckx &amp; Van Dyck, 2019)","previouslyFormattedCitation":"(Merckx &amp; Van Dyck, 2019)"},"properties":{"noteIndex":0},"schema":"https://github.com/citation-style-language/schema/raw/master/csl-citation.json"}</w:instrText>
      </w:r>
      <w:r w:rsidRPr="005274FA">
        <w:fldChar w:fldCharType="separate"/>
      </w:r>
      <w:r w:rsidRPr="0003404F">
        <w:rPr>
          <w:noProof/>
        </w:rPr>
        <w:t>(Merckx &amp; Van Dyck, 2019)</w:t>
      </w:r>
      <w:r w:rsidRPr="005274FA">
        <w:fldChar w:fldCharType="end"/>
      </w:r>
      <w:r w:rsidRPr="005274FA">
        <w:t>. To ensure that we could robustly disentangle the effects of ALAN from other elements of urbanisation, we conducted a GIS analysis which showed that the proportion of urbanisation at various spatial scales was not a useful predictor of caterpillar abundanc</w:t>
      </w:r>
      <w:r>
        <w:t>e</w:t>
      </w:r>
      <w:r w:rsidRPr="005274FA">
        <w:t xml:space="preserve">. Light intensity was recorded using a lux meter (Andoer® HP-881C; resolution: 0.1 lux) at five evenly spaced points along each transect. This was done on cloudy nights or during the new moon. Readings were taken directly upwards at the height likely to be experienced by the caterpillars: 1.25 m for hedgerows and 0.25 m for grass margins. Lit hedgerow sites ranged from a transect average of 1.42 to 15.84 lux (mean: 5.7 lux), while lit grass transects varied between 0.18 and 7.14 lux (mean: 2.2 lux). Within each site type, the mean lux values of sodium and LED transects were not statistically different for either hedgerows (independent t-test: t(7.6)= -0.97, p= 0.34), or grass margins (t(13.9)= -0.2, p= 0.85). All unlit transects were estimated to be &lt;0.01 lux on an overcast night (and all measured the minimum reading of 0.1 lux on the light metre). </w:t>
      </w:r>
    </w:p>
    <w:p w14:paraId="26983C7C" w14:textId="77777777" w:rsidR="00BA38DA" w:rsidRPr="005274FA" w:rsidRDefault="00BA38DA" w:rsidP="00BA38DA">
      <w:pPr>
        <w:spacing w:line="360" w:lineRule="auto"/>
      </w:pPr>
      <w:r w:rsidRPr="005274FA">
        <w:t xml:space="preserve">An important caveat is that lux is based on human vision and, thus, potentially ecologically relevant spectral information can be omitted when using this unit of measurement </w:t>
      </w:r>
      <w:r w:rsidRPr="005274FA">
        <w:fldChar w:fldCharType="begin" w:fldLock="1"/>
      </w:r>
      <w:r>
        <w:instrText>ADDIN CSL_CITATION {"citationItems":[{"id":"ITEM-1","itemData":{"author":[{"dropping-particle":"","family":"Longcore","given":"Travis","non-dropping-particle":"","parse-names":false,"suffix":""},{"dropping-particle":"","family":"Rich","given":"Catherine","non-dropping-particle":"","parse-names":false,"suffix":""}],"container-title":"Frontiers in Ecology and the Environment","id":"ITEM-1","issue":"4","issued":{"date-parts":[["2004"]]},"page":"191-198","publisher":"Wiley Online Library","title":"Ecological light pollution","type":"article-journal","volume":"2"},"uris":["http://www.mendeley.com/documents/?uuid=3d635993-2abf-41bc-8aaa-ccbd717f5b20"]}],"mendeley":{"formattedCitation":"(Longcore &amp; Rich, 2004)","plainTextFormattedCitation":"(Longcore &amp; Rich, 2004)","previouslyFormattedCitation":"(Longcore &amp; Rich, 2004)"},"properties":{"noteIndex":0},"schema":"https://github.com/citation-style-language/schema/raw/master/csl-citation.json"}</w:instrText>
      </w:r>
      <w:r w:rsidRPr="005274FA">
        <w:fldChar w:fldCharType="separate"/>
      </w:r>
      <w:r w:rsidRPr="0003404F">
        <w:rPr>
          <w:noProof/>
        </w:rPr>
        <w:t>(Longcore &amp; Rich, 2004)</w:t>
      </w:r>
      <w:r w:rsidRPr="005274FA">
        <w:fldChar w:fldCharType="end"/>
      </w:r>
      <w:r w:rsidRPr="005274FA">
        <w:t>. Identical measurements of lux may not correspond to the same illumination as perceived by a caterpillar. Despite these shortcomings, lux is the SI unit for light intensity, and continues to be used by ecologists and urban planners alike due to its convenience.</w:t>
      </w:r>
    </w:p>
    <w:p w14:paraId="39552EAC" w14:textId="1E5AA8FC" w:rsidR="00BA38DA" w:rsidRDefault="00BA38DA" w:rsidP="00BA38DA">
      <w:pPr>
        <w:spacing w:line="360" w:lineRule="auto"/>
      </w:pPr>
      <w:r w:rsidRPr="005274FA">
        <w:t xml:space="preserve">Thirteen pairs of sites had comparable sections of hedgerow for beating and 15 had suitable strips of grass margin for sweep net sampling (two sites were used for both types of sampling). </w:t>
      </w:r>
    </w:p>
    <w:p w14:paraId="722B12D1" w14:textId="77777777" w:rsidR="00AC1896" w:rsidRPr="00F83E49" w:rsidRDefault="00AC1896" w:rsidP="00AC1896">
      <w:pPr>
        <w:spacing w:line="360" w:lineRule="auto"/>
        <w:rPr>
          <w:b/>
          <w:bCs/>
        </w:rPr>
      </w:pPr>
      <w:r w:rsidRPr="00F83E49">
        <w:rPr>
          <w:b/>
          <w:bCs/>
        </w:rPr>
        <w:t>Spectra of the lighting treatments</w:t>
      </w:r>
    </w:p>
    <w:p w14:paraId="797DCCC4" w14:textId="77777777" w:rsidR="00AC1896" w:rsidRDefault="00AC1896" w:rsidP="00AC1896">
      <w:pPr>
        <w:spacing w:line="360" w:lineRule="auto"/>
      </w:pPr>
      <w:r w:rsidRPr="003C1677">
        <w:t xml:space="preserve">To assess the relative intensity of light across the visible spectrum of our field sites, we used an Ocean Optics USB2000+VIS-NIR-ES. We only have spectral data for grass margin sites (the spectrometer was only available to us for one month). The grass margin sites and hedgerow sites are taken from the same population (i.e. the region’s street light inventories) so we expect that the spectral composition of the LED and HPS lamps would be similar for both grassy margin and </w:t>
      </w:r>
      <w:r w:rsidRPr="003C1677">
        <w:lastRenderedPageBreak/>
        <w:t>hedgerow sites. One metric of interpreting the spectral data is using the Correlated Colour Temperature (CCT) which converts the spectrum into a single value: lower values are warmer hues and higher values being cooler hues; for instance, natural noon daylight is 5000-6000 K.</w:t>
      </w:r>
    </w:p>
    <w:p w14:paraId="6A256A52" w14:textId="77777777" w:rsidR="00AC1896" w:rsidRDefault="00AC1896" w:rsidP="00AC1896">
      <w:pPr>
        <w:spacing w:line="360" w:lineRule="auto"/>
      </w:pPr>
      <w:r w:rsidRPr="007B503C">
        <w:t>High-pressure and low-pressure sodium lamps are inflexible in terms of their colour output, generating a characteristic yellow or orange glow. The CCT of HPS lamps is approximately 2200 K and LPS 1800 K</w:t>
      </w:r>
    </w:p>
    <w:p w14:paraId="386CB404" w14:textId="77777777" w:rsidR="00AC1896" w:rsidRDefault="00AC1896" w:rsidP="00AC1896">
      <w:pPr>
        <w:spacing w:line="360" w:lineRule="auto"/>
      </w:pPr>
      <w:r w:rsidRPr="00ED3935">
        <w:t>LEDs are flexible and can be any colour (commercial CCT white LEDs are typically vary from 2200 K to 6500 K, i.e., warm whites through to cold whites). The LEDs at our field sites were all white, though there was some variation in the temperature of these lights. We report relative values (the spectrometer had no available calibration).</w:t>
      </w:r>
      <w:r>
        <w:t xml:space="preserve"> From spectra taken at our grass field sites, we </w:t>
      </w:r>
      <w:r w:rsidRPr="005274FA">
        <w:rPr>
          <w:rFonts w:cs="Calibri"/>
        </w:rPr>
        <w:t xml:space="preserve">estimate the CCT </w:t>
      </w:r>
      <w:r>
        <w:rPr>
          <w:rFonts w:cs="Calibri"/>
        </w:rPr>
        <w:t xml:space="preserve">of the LED treatments </w:t>
      </w:r>
      <w:r w:rsidRPr="005274FA">
        <w:rPr>
          <w:rFonts w:cs="Calibri"/>
        </w:rPr>
        <w:t>to be 2700 K – 4000 K (i.e., warm white to neutral white).</w:t>
      </w:r>
    </w:p>
    <w:p w14:paraId="3D42CA54" w14:textId="77777777" w:rsidR="00AC1896" w:rsidRPr="00B14D58" w:rsidRDefault="00AC1896" w:rsidP="00AC1896">
      <w:pPr>
        <w:spacing w:line="360" w:lineRule="auto"/>
        <w:rPr>
          <w:b/>
          <w:bCs/>
        </w:rPr>
      </w:pPr>
      <w:r w:rsidRPr="00B14D58">
        <w:rPr>
          <w:b/>
          <w:bCs/>
        </w:rPr>
        <w:t>Site pairs matching criteria</w:t>
      </w:r>
    </w:p>
    <w:p w14:paraId="4658E04B" w14:textId="77777777" w:rsidR="00AC1896" w:rsidRDefault="00AC1896" w:rsidP="00AC1896">
      <w:pPr>
        <w:spacing w:line="360" w:lineRule="auto"/>
      </w:pPr>
      <w:r>
        <w:t>At each site, the lit and unlit transects were carefully paired to ensure that the habitat was comparable. Paired transects were geographically close (median: 118 m, range 60-527 m) so experienced similar climatic conditions. To minimise microclimatic differences arising from different aspects, lit and unlit transects were located along straight roads (a difference in angle of up to 25° was permissible). Hedgerow trees are important for local adult moth abundance, so the presence or absence of hedgerow trees (where a trunk clearly projected above the hedge) was recorded within 30 m of the transect midpoint, and sites where this differed were excluded (n=8). Transects were always within the same field so that the agricultural management (e.g., frequency of hedgerow management; pesticide usage) was consistent. Sites with an area of high-quality habitat located adjacent to one of the transects were excluded (n=2; one with an adjacent nature reserve, one with a stand of mature broadleaved woodland). For hedgerow sampling sites, the dominant woody plant species, hedgerow height, and width were controlled for.</w:t>
      </w:r>
    </w:p>
    <w:p w14:paraId="5AA166AD" w14:textId="77777777" w:rsidR="00AC1896" w:rsidRDefault="00AC1896" w:rsidP="00AC1896">
      <w:pPr>
        <w:spacing w:line="360" w:lineRule="auto"/>
      </w:pPr>
      <w:r>
        <w:t>At grass margin sampling sites, the vegetation height was recorded at the first sampling session to ensure the mean value (n=10, recorded at evenly spaced intervals along the transect) for lit and unlit transects did not differ by more than 10 cm, indicating the vegetation management (e.g., mowing grass verges around junctions) did not tend to be greater in one of the treatment types. Two sites did not meet this criterion so were excluded.</w:t>
      </w:r>
    </w:p>
    <w:p w14:paraId="0A126AD0" w14:textId="77777777" w:rsidR="00CD1C2E" w:rsidRPr="005274FA" w:rsidRDefault="00CD1C2E" w:rsidP="00CD1C2E">
      <w:pPr>
        <w:spacing w:line="360" w:lineRule="auto"/>
        <w:rPr>
          <w:i/>
          <w:iCs/>
        </w:rPr>
      </w:pPr>
      <w:r w:rsidRPr="00B14D58">
        <w:rPr>
          <w:b/>
          <w:bCs/>
        </w:rPr>
        <w:t>Caterpillar sampling</w:t>
      </w:r>
      <w:r w:rsidRPr="005274FA">
        <w:rPr>
          <w:i/>
          <w:iCs/>
        </w:rPr>
        <w:t xml:space="preserve"> </w:t>
      </w:r>
    </w:p>
    <w:p w14:paraId="7F986DFF" w14:textId="77777777" w:rsidR="00CD1C2E" w:rsidRPr="005274FA" w:rsidRDefault="00CD1C2E" w:rsidP="00CD1C2E">
      <w:pPr>
        <w:spacing w:line="360" w:lineRule="auto"/>
      </w:pPr>
      <w:r w:rsidRPr="005274FA">
        <w:t xml:space="preserve">Two sampling methods were employed to compare the two feeding guilds of moth caterpillar communities at lit and unlit transects: hedgerow beating in spring for species feeding on deciduous woody trees and shrubs, and sweep net sampling in winter for species feeding nocturnally on </w:t>
      </w:r>
      <w:r w:rsidRPr="005274FA">
        <w:lastRenderedPageBreak/>
        <w:t xml:space="preserve">grasses and low-growing herbaceous plants. Hedgerows were sampled during the day once in mid-May 2019 and once in mid-April in 2020. These dates correspond to the end and start, respectively, of the prime season for moth caterpillars feeding on the spring flush of foliage. These two specific periods were chosen so that any phenological artefacts on abundance arising from ALAN could be reduced. In the late spring sampling, caterpillars were the fourth or final instar, while in the early spring visit, caterpillars were first or second instar. This means we sampled at the beginning and at the end of the time this guild (spring flush feeders) spends as larvae. One site had been developed into housing between the two visits so was not sampled in 2020. Beating was conducted at three points along each transect, which were 14 m long. The dominant plant species of the hedgerow was recorded and was typically the same at a paired site (e.g., six </w:t>
      </w:r>
      <w:r w:rsidRPr="005274FA">
        <w:rPr>
          <w:i/>
          <w:iCs/>
        </w:rPr>
        <w:t>Crataegus</w:t>
      </w:r>
      <w:r w:rsidRPr="005274FA">
        <w:t xml:space="preserve">-dominated sampling points). Where this was not possible, the dominant species composition was kept constant within a pair (e.g., 2 unlit </w:t>
      </w:r>
      <w:r w:rsidRPr="005274FA">
        <w:rPr>
          <w:i/>
          <w:iCs/>
        </w:rPr>
        <w:t>Crataegus</w:t>
      </w:r>
      <w:r w:rsidRPr="005274FA">
        <w:t xml:space="preserve">-dominated points, one unlit </w:t>
      </w:r>
      <w:r w:rsidRPr="005274FA">
        <w:rPr>
          <w:i/>
          <w:iCs/>
        </w:rPr>
        <w:t>Acer campestre</w:t>
      </w:r>
      <w:r w:rsidRPr="005274FA">
        <w:t>, paired with 2 lit</w:t>
      </w:r>
      <w:r w:rsidRPr="005274FA">
        <w:rPr>
          <w:i/>
          <w:iCs/>
        </w:rPr>
        <w:t xml:space="preserve"> Crataegus</w:t>
      </w:r>
      <w:r w:rsidRPr="005274FA">
        <w:t xml:space="preserve"> and one lit</w:t>
      </w:r>
      <w:r w:rsidRPr="005274FA">
        <w:rPr>
          <w:i/>
          <w:iCs/>
        </w:rPr>
        <w:t xml:space="preserve"> Acer campestre</w:t>
      </w:r>
      <w:r w:rsidRPr="005274FA">
        <w:t xml:space="preserve">). Beating used two methods: drainpipes for box-shaped hedges (8 sites) and a beating tray (5 sites). Three 2 m lengths of half drainpipe (width: 11.2 cm) were inserted at the base of the hedge lying next to each other perpendicular to the hedge direction </w:t>
      </w:r>
      <w:r w:rsidRPr="005274FA">
        <w:rPr>
          <w:noProof/>
        </w:rPr>
        <w:t xml:space="preserve">(a modification of methods by </w:t>
      </w:r>
      <w:r w:rsidRPr="005274FA">
        <w:rPr>
          <w:noProof/>
        </w:rPr>
        <w:fldChar w:fldCharType="begin" w:fldLock="1"/>
      </w:r>
      <w:r>
        <w:rPr>
          <w:noProof/>
        </w:rPr>
        <w:instrText>ADDIN CSL_CITATION {"citationItems":[{"id":"ITEM-1","itemData":{"author":[{"dropping-particle":"","family":"Maudsley","given":"Martin","non-dropping-particle":"","parse-names":false,"suffix":""},{"dropping-particle":"","family":"Seeley","given":"Becky","non-dropping-particle":"","parse-names":false,"suffix":""},{"dropping-particle":"","family":"Lewis","given":"Owen","non-dropping-particle":"","parse-names":false,"suffix":""}],"container-title":"Agriculture, Ecosystems &amp; Environment","id":"ITEM-1","issue":"1-2","issued":{"date-parts":[["2002"]]},"page":"77-89","publisher":"Elsevier","title":"Spatial distribution patterns of predatory arthropods within an English hedgerow in early winter in relation to habitat variables","type":"article-journal","volume":"89"},"uris":["http://www.mendeley.com/documents/?uuid=aef33f69-8ebb-4e51-bbdb-88c7686f2a97"]},{"id":"ITEM-2","itemData":{"author":[{"dropping-particle":"","family":"Staley","given":"Joanna T","non-dropping-particle":"","parse-names":false,"suffix":""},{"dropping-particle":"","family":"Botham","given":"Marc S","non-dropping-particle":"","parse-names":false,"suffix":""},{"dropping-particle":"","family":"Chapman","given":"Roselle E","non-dropping-particle":"","parse-names":false,"suffix":""},{"dropping-particle":"","family":"Amy","given":"Sam R","non-dropping-particle":"","parse-names":false,"suffix":""},{"dropping-particle":"","family":"Heard","given":"Matthew S","non-dropping-particle":"","parse-names":false,"suffix":""},{"dropping-particle":"","family":"Hulmes","given":"Lucy","non-dropping-particle":"","parse-names":false,"suffix":""},{"dropping-particle":"","family":"Savage","given":"Joanna","non-dropping-particle":"","parse-names":false,"suffix":""},{"dropping-particle":"","family":"Pywell","given":"Richard F","non-dropping-particle":"","parse-names":false,"suffix":""}],"container-title":"Agriculture, Ecosystems &amp; Environment","id":"ITEM-2","issued":{"date-parts":[["2016"]]},"page":"22-28","publisher":"Elsevier","title":"Little and late: How reduced hedgerow cutting can benefit Lepidoptera","type":"article-journal","volume":"224"},"uris":["http://www.mendeley.com/documents/?uuid=7368d69e-cb29-42a7-a145-88f828996f07"]}],"mendeley":{"formattedCitation":"(Maudsley et al., 2002; Staley et al., 2016)","plainTextFormattedCitation":"(Maudsley et al., 2002; Staley et al., 2016)","previouslyFormattedCitation":"(Maudsley et al., 2002; Staley et al., 2016)"},"properties":{"noteIndex":0},"schema":"https://github.com/citation-style-language/schema/raw/master/csl-citation.json"}</w:instrText>
      </w:r>
      <w:r w:rsidRPr="005274FA">
        <w:rPr>
          <w:noProof/>
        </w:rPr>
        <w:fldChar w:fldCharType="separate"/>
      </w:r>
      <w:r w:rsidRPr="0003404F">
        <w:rPr>
          <w:noProof/>
        </w:rPr>
        <w:t>(Maudsley et al., 2002; Staley et al., 2016)</w:t>
      </w:r>
      <w:r w:rsidRPr="005274FA">
        <w:rPr>
          <w:noProof/>
        </w:rPr>
        <w:fldChar w:fldCharType="end"/>
      </w:r>
      <w:r w:rsidRPr="005274FA">
        <w:rPr>
          <w:noProof/>
        </w:rPr>
        <w:t>)</w:t>
      </w:r>
      <w:r w:rsidRPr="005274FA">
        <w:t xml:space="preserve">, while a traditional beating tray (Watkins &amp; Doncaster; dimensions 110 cm x 86 cm) was used at sites where there was overhanging vegetation. In both cases, the vegetation was struck five times with a metal pole to dislodge caterpillars. </w:t>
      </w:r>
    </w:p>
    <w:p w14:paraId="15C0D7EF" w14:textId="77777777" w:rsidR="00CD1C2E" w:rsidRPr="005274FA" w:rsidRDefault="00CD1C2E" w:rsidP="00CD1C2E">
      <w:pPr>
        <w:spacing w:line="360" w:lineRule="auto"/>
      </w:pPr>
      <w:r w:rsidRPr="005274FA">
        <w:t xml:space="preserve">The second method was sweep netting grass margins for over-wintering noctuid caterpillars, which climb up grass stems to feed at night. Transects were established either on the road side (road verges) or the field side (agricultural margins), depending on where comparable habitat was available. Botanical surveys were conducted during June 2019 and Analyses of Similarities (ANOSIM) showed that for each site, the plant community of lit and unlit transects were indistinguishable. Caterpillar sampling took place on mild nights (forecasted minimum temperature </w:t>
      </w:r>
      <w:r w:rsidRPr="005274FA">
        <w:rPr>
          <w:rFonts w:cs="Calibri"/>
        </w:rPr>
        <w:t>≥</w:t>
      </w:r>
      <w:r w:rsidRPr="005274FA">
        <w:t>6</w:t>
      </w:r>
      <w:r w:rsidRPr="005274FA">
        <w:rPr>
          <w:rFonts w:cs="Calibri"/>
        </w:rPr>
        <w:t>°</w:t>
      </w:r>
      <w:r w:rsidRPr="005274FA">
        <w:t xml:space="preserve">c) from December 2018 to April 2019 and was done at least one hour after sunset between 21:00 and 06:30. Transects were walked at a consistent pace while making brisk sweeps in a continuous figure-of-eight motion with a sweeping net (Watkins &amp; Doncaster; diameter 50 cm; pentagon-shaped frame). The number of caterpillars recorded per transect was relatively low (mean: 6.9) so sites were visited several times over the season; most sites were sampled four times. At one site, new street lights were installed in the previously unlit section during the study period, so this site was only visited twice. Both transects in a pair were sampled an equal number of times so, while there was variation between sites, the statistical comparison between lit and unlit transects is unaffected by this variation in number of visits. Transects were marked with plastic markers on the first visit and were typically 14 m long but at some sites were longer if there was enough comparable habitat available across both sections of the pair (transect length was always kept the same between lit and unlit sections). Sampling of the lit and unlit sections was typically separated by around 10 minutes. The </w:t>
      </w:r>
      <w:r w:rsidRPr="005274FA">
        <w:lastRenderedPageBreak/>
        <w:t>time of sampling (later converted to minutes past sunset) and the temperature (according to the external car thermometer) were recorded.</w:t>
      </w:r>
    </w:p>
    <w:p w14:paraId="2228AEE3" w14:textId="77777777" w:rsidR="00CD1C2E" w:rsidRPr="005274FA" w:rsidRDefault="00CD1C2E" w:rsidP="00CD1C2E">
      <w:pPr>
        <w:spacing w:line="360" w:lineRule="auto"/>
      </w:pPr>
      <w:r w:rsidRPr="005274FA">
        <w:t xml:space="preserve">All caterpillars collected from the grass strips (n=826) and the late spring hedgerow sampling (n=1021) were retained (early spring caterpillars from 2020 were not kept due to the lack of laboratory access because of COVID-19 restrictions). Provisional identifications were assigned by the lead author using prior knowledge, existing literature </w:t>
      </w:r>
      <w:r w:rsidRPr="005274FA">
        <w:rPr>
          <w:noProof/>
        </w:rPr>
        <w:fldChar w:fldCharType="begin" w:fldLock="1"/>
      </w:r>
      <w:r>
        <w:rPr>
          <w:noProof/>
        </w:rPr>
        <w:instrText>ADDIN CSL_CITATION {"citationItems":[{"id":"ITEM-1","itemData":{"author":[{"dropping-particle":"","family":"Porter","given":"Jim","non-dropping-particle":"","parse-names":false,"suffix":""}],"id":"ITEM-1","issued":{"date-parts":[["2010"]]},"publisher":"Apollo Books","publisher-place":"Stenstrup, Denmark","title":"Colour Identification Guide to Caterpillars of the British Isles:(Macrolepidoptera.)","type":"book"},"uris":["http://www.mendeley.com/documents/?uuid=b9e2d4ea-9d71-40bf-9169-8527e426b60b"]}],"mendeley":{"formattedCitation":"(Porter, 2010)","plainTextFormattedCitation":"(Porter, 2010)","previouslyFormattedCitation":"(Porter, 2010)"},"properties":{"noteIndex":0},"schema":"https://github.com/citation-style-language/schema/raw/master/csl-citation.json"}</w:instrText>
      </w:r>
      <w:r w:rsidRPr="005274FA">
        <w:rPr>
          <w:noProof/>
        </w:rPr>
        <w:fldChar w:fldCharType="separate"/>
      </w:r>
      <w:r w:rsidRPr="0003404F">
        <w:rPr>
          <w:noProof/>
        </w:rPr>
        <w:t>(Porter, 2010)</w:t>
      </w:r>
      <w:r w:rsidRPr="005274FA">
        <w:rPr>
          <w:noProof/>
        </w:rPr>
        <w:fldChar w:fldCharType="end"/>
      </w:r>
      <w:r w:rsidRPr="005274FA">
        <w:t xml:space="preserve">, and </w:t>
      </w:r>
      <w:hyperlink r:id="rId9" w:history="1">
        <w:r w:rsidRPr="005274FA">
          <w:rPr>
            <w:rStyle w:val="Hyperlink"/>
            <w:color w:val="auto"/>
          </w:rPr>
          <w:t>www.ukleps.org</w:t>
        </w:r>
      </w:hyperlink>
      <w:r w:rsidRPr="005274FA">
        <w:t xml:space="preserve">. Hedgerow caterpillars were predominantly winter-flying geometrids (largely </w:t>
      </w:r>
      <w:r w:rsidRPr="005274FA">
        <w:rPr>
          <w:i/>
          <w:iCs/>
        </w:rPr>
        <w:t>Operophtera</w:t>
      </w:r>
      <w:r w:rsidRPr="005274FA">
        <w:t xml:space="preserve"> spp.; as well as </w:t>
      </w:r>
      <w:r w:rsidRPr="005274FA">
        <w:rPr>
          <w:i/>
          <w:iCs/>
        </w:rPr>
        <w:t>Epirrata</w:t>
      </w:r>
      <w:r w:rsidRPr="005274FA">
        <w:t xml:space="preserve"> spp., </w:t>
      </w:r>
      <w:r w:rsidRPr="005274FA">
        <w:rPr>
          <w:i/>
          <w:iCs/>
        </w:rPr>
        <w:t>Agriopis</w:t>
      </w:r>
      <w:r w:rsidRPr="005274FA">
        <w:t xml:space="preserve"> spp., </w:t>
      </w:r>
      <w:r w:rsidRPr="005274FA">
        <w:rPr>
          <w:i/>
          <w:iCs/>
        </w:rPr>
        <w:t>Erannis defoliaria</w:t>
      </w:r>
      <w:r w:rsidRPr="005274FA">
        <w:t xml:space="preserve">, </w:t>
      </w:r>
      <w:r w:rsidRPr="005274FA">
        <w:rPr>
          <w:i/>
          <w:iCs/>
        </w:rPr>
        <w:t>Phigalia pilosaria</w:t>
      </w:r>
      <w:r w:rsidRPr="005274FA">
        <w:t xml:space="preserve">) and also summer-flying micro-moths (Tortricidae spp., </w:t>
      </w:r>
      <w:r w:rsidRPr="005274FA">
        <w:rPr>
          <w:i/>
          <w:iCs/>
        </w:rPr>
        <w:t>Acrobasis</w:t>
      </w:r>
      <w:r w:rsidRPr="005274FA">
        <w:t xml:space="preserve"> sp., </w:t>
      </w:r>
      <w:r w:rsidRPr="005274FA">
        <w:rPr>
          <w:i/>
          <w:iCs/>
        </w:rPr>
        <w:t>Ypsolopha</w:t>
      </w:r>
      <w:r w:rsidRPr="005274FA">
        <w:t xml:space="preserve"> sp.). These were grouped into 20 ‘taxonomic units’ (which including species, genera, family-level determinations, and “unknown”). Grass margin caterpillars were overwhelmingly over-wintering, grass-feeding noctuids (predominately, </w:t>
      </w:r>
      <w:r w:rsidRPr="005274FA">
        <w:rPr>
          <w:i/>
          <w:iCs/>
        </w:rPr>
        <w:t xml:space="preserve">Xestia xanthographa/X. sexstrigata; </w:t>
      </w:r>
      <w:r w:rsidRPr="005274FA">
        <w:t>also,</w:t>
      </w:r>
      <w:r w:rsidRPr="005274FA">
        <w:rPr>
          <w:i/>
          <w:iCs/>
        </w:rPr>
        <w:t xml:space="preserve"> Mesapamea </w:t>
      </w:r>
      <w:r w:rsidRPr="005274FA">
        <w:t xml:space="preserve">spp., </w:t>
      </w:r>
      <w:r w:rsidRPr="005274FA">
        <w:rPr>
          <w:i/>
          <w:iCs/>
        </w:rPr>
        <w:t>Noctua pronuba</w:t>
      </w:r>
      <w:r w:rsidRPr="005274FA">
        <w:t xml:space="preserve">, </w:t>
      </w:r>
      <w:r w:rsidRPr="005274FA">
        <w:rPr>
          <w:i/>
          <w:iCs/>
        </w:rPr>
        <w:t>Phlogophora meticulosa</w:t>
      </w:r>
      <w:r w:rsidRPr="005274FA">
        <w:t xml:space="preserve">). Thirty-four day-flying Lepidoptera caterpillars were recorded (Nymphalidae and Zygaenidae). These were included in the analyses because day-flying species with nocturnal larval stages might still be adversely affected by ALAN </w:t>
      </w:r>
      <w:r w:rsidRPr="005274FA">
        <w:fldChar w:fldCharType="begin" w:fldLock="1"/>
      </w:r>
      <w:r>
        <w:instrText>ADDIN CSL_CITATION {"citationItems":[{"id":"ITEM-1","itemData":{"author":[{"dropping-particle":"","family":"Boyes","given":"Douglas H","non-dropping-particle":"","parse-names":false,"suffix":""},{"dropping-particle":"","family":"Evans","given":"Darren M","non-dropping-particle":"","parse-names":false,"suffix":""},{"dropping-particle":"","family":"Fox","given":"Richard","non-dropping-particle":"","parse-names":false,"suffix":""},{"dropping-particle":"","family":"Parsons","given":"Mark S","non-dropping-particle":"","parse-names":false,"suffix":""},{"dropping-particle":"","family":"Pocock","given":"Michael J O","non-dropping-particle":"","parse-names":false,"suffix":""}],"container-title":"Insect Conservation and Diversity","id":"ITEM-1","issue":"14","issued":{"date-parts":[["2021"]]},"page":"167–187","publisher":"Wiley Online Library","title":"Is light pollution driving moth population declines? A review of causal mechanisms across the life cycle","type":"article-journal"},"uris":["http://www.mendeley.com/documents/?uuid=a192a90b-40ef-4e59-9a3c-ceffdab4be1b"]}],"mendeley":{"formattedCitation":"(Boyes et al., 2021)","plainTextFormattedCitation":"(Boyes et al., 2021)","previouslyFormattedCitation":"(Boyes et al., 2021)"},"properties":{"noteIndex":0},"schema":"https://github.com/citation-style-language/schema/raw/master/csl-citation.json"}</w:instrText>
      </w:r>
      <w:r w:rsidRPr="005274FA">
        <w:fldChar w:fldCharType="separate"/>
      </w:r>
      <w:r w:rsidRPr="0003404F">
        <w:rPr>
          <w:noProof/>
        </w:rPr>
        <w:t>(Boyes et al., 2021)</w:t>
      </w:r>
      <w:r w:rsidRPr="005274FA">
        <w:fldChar w:fldCharType="end"/>
      </w:r>
      <w:r w:rsidRPr="005274FA">
        <w:t xml:space="preserve">. Grass margins produced 16 taxonomic units (as defined above for the hedgerow guild). </w:t>
      </w:r>
    </w:p>
    <w:p w14:paraId="6E2C1A56" w14:textId="2B7A6CB7" w:rsidR="0053630C" w:rsidRDefault="00866929" w:rsidP="00FB2A39">
      <w:pPr>
        <w:spacing w:line="360" w:lineRule="auto"/>
      </w:pPr>
      <w:r w:rsidRPr="005274FA">
        <w:t xml:space="preserve">All caterpillars were weighed using a digital </w:t>
      </w:r>
      <w:r w:rsidR="00CD0833" w:rsidRPr="005274FA">
        <w:t xml:space="preserve">analytical balance </w:t>
      </w:r>
      <w:r w:rsidRPr="005274FA">
        <w:t>(resolution: 0.0001 g).</w:t>
      </w:r>
      <w:r w:rsidR="00701BAB" w:rsidRPr="005274FA">
        <w:t xml:space="preserve"> The mean mass of c</w:t>
      </w:r>
      <w:r w:rsidRPr="005274FA">
        <w:t xml:space="preserve">aterpillars from grass margins </w:t>
      </w:r>
      <w:r w:rsidR="00701BAB" w:rsidRPr="005274FA">
        <w:t xml:space="preserve">was 98 mg (range: </w:t>
      </w:r>
      <w:r w:rsidRPr="005274FA">
        <w:t>0.07 mg to 2,240 mg</w:t>
      </w:r>
      <w:r w:rsidR="00701BAB" w:rsidRPr="005274FA">
        <w:t xml:space="preserve">) </w:t>
      </w:r>
      <w:r w:rsidR="007F1F2F" w:rsidRPr="005274FA">
        <w:t xml:space="preserve">and </w:t>
      </w:r>
      <w:r w:rsidR="00701BAB" w:rsidRPr="005274FA">
        <w:t>the mean mass of</w:t>
      </w:r>
      <w:r w:rsidRPr="005274FA">
        <w:t xml:space="preserve"> hedgerow caterpillars </w:t>
      </w:r>
      <w:r w:rsidR="00701BAB" w:rsidRPr="005274FA">
        <w:t>was 43 mg (</w:t>
      </w:r>
      <w:r w:rsidR="00042F46" w:rsidRPr="005274FA">
        <w:t>range</w:t>
      </w:r>
      <w:r w:rsidR="00701BAB" w:rsidRPr="005274FA">
        <w:t xml:space="preserve">: </w:t>
      </w:r>
      <w:r w:rsidR="00042F46" w:rsidRPr="005274FA">
        <w:t xml:space="preserve">0.2 mg </w:t>
      </w:r>
      <w:r w:rsidR="00AE4605" w:rsidRPr="005274FA">
        <w:t>to</w:t>
      </w:r>
      <w:r w:rsidR="00042F46" w:rsidRPr="005274FA">
        <w:t xml:space="preserve"> 866 mg</w:t>
      </w:r>
      <w:r w:rsidR="00701BAB" w:rsidRPr="005274FA">
        <w:t>)</w:t>
      </w:r>
      <w:r w:rsidRPr="005274FA">
        <w:t>.</w:t>
      </w:r>
    </w:p>
    <w:p w14:paraId="35A42414" w14:textId="77777777" w:rsidR="00E94C48" w:rsidRPr="00B14D58" w:rsidRDefault="00E94C48" w:rsidP="00E94C48">
      <w:pPr>
        <w:spacing w:line="360" w:lineRule="auto"/>
        <w:rPr>
          <w:b/>
          <w:bCs/>
        </w:rPr>
      </w:pPr>
      <w:r w:rsidRPr="00B14D58">
        <w:rPr>
          <w:b/>
          <w:bCs/>
        </w:rPr>
        <w:t>Quality control</w:t>
      </w:r>
    </w:p>
    <w:p w14:paraId="7508DF8A" w14:textId="77777777" w:rsidR="00E94C48" w:rsidRPr="00BE6B13" w:rsidRDefault="00E94C48" w:rsidP="00E94C48">
      <w:pPr>
        <w:spacing w:line="360" w:lineRule="auto"/>
      </w:pPr>
      <w:r w:rsidRPr="00BE6B13">
        <w:t>Matched pairs of lit and unlit sites were identified following detailed research with a specified set of criteria. All sites were sampled over the same nights to remove variations due to temperature.</w:t>
      </w:r>
    </w:p>
    <w:p w14:paraId="7074ADE3" w14:textId="77777777" w:rsidR="00E94C48" w:rsidRPr="00BE6B13" w:rsidRDefault="00E94C48" w:rsidP="00E94C48">
      <w:pPr>
        <w:spacing w:line="360" w:lineRule="auto"/>
      </w:pPr>
      <w:r w:rsidRPr="00BE6B13">
        <w:t xml:space="preserve">Sampling took place using standardised methods as described above.  All caterpillars were identified by D.H.B., using prior knowledge, and existing literature. Caterpillar samples were retained and kept at -20°C apart from the samples from spring 2020 which could not be retained due to Covid-19 restrictions preventing laboratory access. Data were collected using standardised recording forms and transcribed into a purpose-designed spreadsheet (Microsoft Excel) using  dropdown menus and rules to ensure accurate data entry. Data entry took place within 24 hours of field visits. Calculations were automated using formulae in Excel. </w:t>
      </w:r>
    </w:p>
    <w:p w14:paraId="473FC7F0" w14:textId="77777777" w:rsidR="00E94C48" w:rsidRPr="00BE6B13" w:rsidRDefault="00E94C48" w:rsidP="00E94C48">
      <w:pPr>
        <w:spacing w:line="360" w:lineRule="auto"/>
      </w:pPr>
      <w:r w:rsidRPr="00BE6B13">
        <w:t>Following data entry, records were double checked to ensure accidental typing errors were removed and to check for apparent outliers. Data were exported into their current format to facilitate statistical analysis</w:t>
      </w:r>
      <w:bookmarkStart w:id="2" w:name="_Hlk76319699"/>
      <w:r w:rsidRPr="00BE6B13">
        <w:t>.</w:t>
      </w:r>
      <w:bookmarkEnd w:id="2"/>
    </w:p>
    <w:p w14:paraId="27C1B8E2" w14:textId="77777777" w:rsidR="000F791D" w:rsidRDefault="000F791D" w:rsidP="000F791D"/>
    <w:p w14:paraId="7B7C8FA8" w14:textId="77777777" w:rsidR="00D7214E" w:rsidRDefault="00484DE5" w:rsidP="00D7214E">
      <w:pPr>
        <w:spacing w:line="360" w:lineRule="auto"/>
        <w:rPr>
          <w:sz w:val="20"/>
          <w:szCs w:val="20"/>
        </w:rPr>
      </w:pPr>
      <w:bookmarkStart w:id="3" w:name="_Hlk76319679"/>
      <w:r>
        <w:rPr>
          <w:b/>
          <w:bCs/>
        </w:rPr>
        <w:br w:type="page"/>
      </w:r>
      <w:r w:rsidR="00D7214E" w:rsidRPr="00E35B49">
        <w:rPr>
          <w:b/>
          <w:bCs/>
        </w:rPr>
        <w:lastRenderedPageBreak/>
        <w:t>Details of data structure</w:t>
      </w:r>
      <w:r w:rsidR="00D7214E">
        <w:rPr>
          <w:b/>
          <w:bCs/>
        </w:rPr>
        <w:t xml:space="preserve"> – main data</w:t>
      </w:r>
    </w:p>
    <w:p w14:paraId="7D9DD08F" w14:textId="6A7EEE00" w:rsidR="00484DE5" w:rsidRPr="00D7214E" w:rsidRDefault="00D7214E" w:rsidP="00D7214E">
      <w:pPr>
        <w:spacing w:line="360" w:lineRule="auto"/>
        <w:rPr>
          <w:iCs/>
        </w:rPr>
      </w:pPr>
      <w:r w:rsidRPr="003B6D77">
        <w:rPr>
          <w:iCs/>
        </w:rPr>
        <w:t xml:space="preserve">The hedgerow count data are contained within </w:t>
      </w:r>
      <w:r w:rsidR="001170E2" w:rsidRPr="001170E2">
        <w:rPr>
          <w:iCs/>
        </w:rPr>
        <w:t>Boyes_et_al_2021_hedgerows_mass</w:t>
      </w:r>
      <w:r w:rsidRPr="003B6D77">
        <w:rPr>
          <w:iCs/>
        </w:rPr>
        <w:t xml:space="preserve">.csv </w:t>
      </w:r>
      <w:r w:rsidRPr="003B6D77">
        <w:rPr>
          <w:iCs/>
        </w:rPr>
        <w:br/>
        <w:t xml:space="preserve">The grass margin count data are contained within </w:t>
      </w:r>
      <w:r w:rsidR="001170E2" w:rsidRPr="001170E2">
        <w:rPr>
          <w:iCs/>
        </w:rPr>
        <w:t>Boyes_et_al_2021_grass_mass</w:t>
      </w:r>
      <w:r w:rsidRPr="003B6D77">
        <w:rPr>
          <w:iCs/>
        </w:rPr>
        <w:t>.csv.</w:t>
      </w:r>
      <w:r>
        <w:rPr>
          <w:iCs/>
        </w:rPr>
        <w:br/>
      </w:r>
      <w:r w:rsidRPr="003B6D77">
        <w:rPr>
          <w:iCs/>
        </w:rPr>
        <w:t>The following table details what data are contained within the different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4464"/>
      </w:tblGrid>
      <w:tr w:rsidR="000F791D" w:rsidRPr="007D08A3" w14:paraId="7D72F099" w14:textId="77777777" w:rsidTr="00777D75">
        <w:trPr>
          <w:trHeight w:val="425"/>
        </w:trPr>
        <w:tc>
          <w:tcPr>
            <w:tcW w:w="4464" w:type="dxa"/>
            <w:shd w:val="clear" w:color="auto" w:fill="auto"/>
            <w:vAlign w:val="center"/>
          </w:tcPr>
          <w:bookmarkEnd w:id="3"/>
          <w:p w14:paraId="2168B98A" w14:textId="77777777" w:rsidR="000F791D" w:rsidRPr="007D08A3" w:rsidRDefault="000F791D" w:rsidP="00777D75">
            <w:pPr>
              <w:spacing w:line="480" w:lineRule="auto"/>
              <w:jc w:val="center"/>
              <w:rPr>
                <w:b/>
                <w:bCs/>
              </w:rPr>
            </w:pPr>
            <w:r w:rsidRPr="007D08A3">
              <w:rPr>
                <w:b/>
                <w:bCs/>
              </w:rPr>
              <w:t>Column title</w:t>
            </w:r>
          </w:p>
        </w:tc>
        <w:tc>
          <w:tcPr>
            <w:tcW w:w="4464" w:type="dxa"/>
            <w:shd w:val="clear" w:color="auto" w:fill="auto"/>
            <w:vAlign w:val="center"/>
          </w:tcPr>
          <w:p w14:paraId="49A29675" w14:textId="77777777" w:rsidR="000F791D" w:rsidRPr="007D08A3" w:rsidRDefault="000F791D" w:rsidP="00777D75">
            <w:pPr>
              <w:spacing w:line="480" w:lineRule="auto"/>
              <w:jc w:val="center"/>
              <w:rPr>
                <w:b/>
                <w:bCs/>
              </w:rPr>
            </w:pPr>
            <w:r w:rsidRPr="007D08A3">
              <w:rPr>
                <w:b/>
                <w:bCs/>
              </w:rPr>
              <w:t>Description</w:t>
            </w:r>
          </w:p>
        </w:tc>
      </w:tr>
      <w:tr w:rsidR="00F9036C" w14:paraId="0F85F9B1" w14:textId="77777777" w:rsidTr="00777D75">
        <w:trPr>
          <w:trHeight w:val="397"/>
        </w:trPr>
        <w:tc>
          <w:tcPr>
            <w:tcW w:w="4464" w:type="dxa"/>
            <w:shd w:val="clear" w:color="auto" w:fill="auto"/>
          </w:tcPr>
          <w:p w14:paraId="6813202C" w14:textId="46FE36C0" w:rsidR="00F9036C" w:rsidRDefault="00F9036C" w:rsidP="000F791D">
            <w:pPr>
              <w:spacing w:line="276" w:lineRule="auto"/>
            </w:pPr>
            <w:r>
              <w:t>‘Visit_ID’</w:t>
            </w:r>
          </w:p>
        </w:tc>
        <w:tc>
          <w:tcPr>
            <w:tcW w:w="4464" w:type="dxa"/>
            <w:shd w:val="clear" w:color="auto" w:fill="auto"/>
            <w:vAlign w:val="center"/>
          </w:tcPr>
          <w:p w14:paraId="40C63903" w14:textId="6718FC85" w:rsidR="00F9036C" w:rsidRDefault="00F9036C" w:rsidP="000F791D">
            <w:pPr>
              <w:spacing w:line="276" w:lineRule="auto"/>
            </w:pPr>
            <w:r>
              <w:t xml:space="preserve">ID number for </w:t>
            </w:r>
            <w:r>
              <w:t>visit (grass data only)</w:t>
            </w:r>
          </w:p>
        </w:tc>
      </w:tr>
      <w:tr w:rsidR="000F791D" w14:paraId="03CAD9A9" w14:textId="77777777" w:rsidTr="00777D75">
        <w:trPr>
          <w:trHeight w:val="397"/>
        </w:trPr>
        <w:tc>
          <w:tcPr>
            <w:tcW w:w="4464" w:type="dxa"/>
            <w:shd w:val="clear" w:color="auto" w:fill="auto"/>
          </w:tcPr>
          <w:p w14:paraId="6DBBAAFA" w14:textId="43682A9E" w:rsidR="000F791D" w:rsidRDefault="000F791D" w:rsidP="000F791D">
            <w:pPr>
              <w:spacing w:line="276" w:lineRule="auto"/>
            </w:pPr>
            <w:r>
              <w:t>‘Site_ID’</w:t>
            </w:r>
          </w:p>
        </w:tc>
        <w:tc>
          <w:tcPr>
            <w:tcW w:w="4464" w:type="dxa"/>
            <w:shd w:val="clear" w:color="auto" w:fill="auto"/>
            <w:vAlign w:val="center"/>
          </w:tcPr>
          <w:p w14:paraId="539B319B" w14:textId="0E37B563" w:rsidR="000F791D" w:rsidRDefault="000F791D" w:rsidP="000F791D">
            <w:pPr>
              <w:spacing w:line="276" w:lineRule="auto"/>
            </w:pPr>
            <w:r>
              <w:t>ID number for site</w:t>
            </w:r>
          </w:p>
        </w:tc>
      </w:tr>
      <w:tr w:rsidR="000F791D" w14:paraId="5164CC46" w14:textId="77777777" w:rsidTr="00777D75">
        <w:trPr>
          <w:trHeight w:val="397"/>
        </w:trPr>
        <w:tc>
          <w:tcPr>
            <w:tcW w:w="4464" w:type="dxa"/>
            <w:shd w:val="clear" w:color="auto" w:fill="auto"/>
          </w:tcPr>
          <w:p w14:paraId="01C3CC10" w14:textId="612AA367" w:rsidR="000F791D" w:rsidRDefault="000F791D" w:rsidP="000F791D">
            <w:pPr>
              <w:spacing w:line="276" w:lineRule="auto"/>
            </w:pPr>
            <w:r>
              <w:t>‘Treatment’</w:t>
            </w:r>
          </w:p>
        </w:tc>
        <w:tc>
          <w:tcPr>
            <w:tcW w:w="4464" w:type="dxa"/>
            <w:shd w:val="clear" w:color="auto" w:fill="auto"/>
            <w:vAlign w:val="center"/>
          </w:tcPr>
          <w:p w14:paraId="54E54627" w14:textId="77777777" w:rsidR="000F791D" w:rsidRDefault="000F791D" w:rsidP="000F791D">
            <w:pPr>
              <w:spacing w:line="276" w:lineRule="auto"/>
            </w:pPr>
            <w:r>
              <w:t>Lighting treatment:</w:t>
            </w:r>
          </w:p>
          <w:p w14:paraId="7AC1264C" w14:textId="77777777" w:rsidR="000F791D" w:rsidRDefault="000F791D" w:rsidP="000F791D">
            <w:pPr>
              <w:spacing w:line="276" w:lineRule="auto"/>
            </w:pPr>
            <w:r>
              <w:t>- unlit control (unlit)</w:t>
            </w:r>
          </w:p>
          <w:p w14:paraId="5EE73389" w14:textId="77777777" w:rsidR="000F791D" w:rsidRDefault="000F791D" w:rsidP="000F791D">
            <w:pPr>
              <w:spacing w:line="276" w:lineRule="auto"/>
            </w:pPr>
            <w:r>
              <w:t>- LED streetlight (LED)</w:t>
            </w:r>
          </w:p>
          <w:p w14:paraId="66B0E768" w14:textId="77777777" w:rsidR="000F791D" w:rsidRDefault="000F791D" w:rsidP="000F791D">
            <w:pPr>
              <w:spacing w:line="276" w:lineRule="auto"/>
            </w:pPr>
            <w:r>
              <w:t>- High Pressure Sodium streetlight (HPS)</w:t>
            </w:r>
          </w:p>
          <w:p w14:paraId="4F7833B7" w14:textId="2BAA7C6A" w:rsidR="000F791D" w:rsidRDefault="000F791D" w:rsidP="000F791D">
            <w:pPr>
              <w:spacing w:line="276" w:lineRule="auto"/>
            </w:pPr>
            <w:r>
              <w:t>- Low Pressure Sodium streetlight (LPS)</w:t>
            </w:r>
          </w:p>
        </w:tc>
      </w:tr>
      <w:tr w:rsidR="000F791D" w14:paraId="510CAD18" w14:textId="77777777" w:rsidTr="00777D75">
        <w:trPr>
          <w:trHeight w:val="397"/>
        </w:trPr>
        <w:tc>
          <w:tcPr>
            <w:tcW w:w="4464" w:type="dxa"/>
            <w:shd w:val="clear" w:color="auto" w:fill="auto"/>
          </w:tcPr>
          <w:p w14:paraId="5F141151" w14:textId="1853860D" w:rsidR="000F791D" w:rsidRPr="00207200" w:rsidRDefault="000F791D" w:rsidP="000F791D">
            <w:pPr>
              <w:spacing w:line="276" w:lineRule="auto"/>
            </w:pPr>
            <w:r w:rsidRPr="00207200">
              <w:t>‘Sample_number’</w:t>
            </w:r>
          </w:p>
        </w:tc>
        <w:tc>
          <w:tcPr>
            <w:tcW w:w="4464" w:type="dxa"/>
            <w:shd w:val="clear" w:color="auto" w:fill="auto"/>
            <w:vAlign w:val="center"/>
          </w:tcPr>
          <w:p w14:paraId="1FE937C1" w14:textId="6061CE02" w:rsidR="000F791D" w:rsidRPr="00207200" w:rsidRDefault="00020F7D" w:rsidP="000F791D">
            <w:pPr>
              <w:spacing w:line="276" w:lineRule="auto"/>
            </w:pPr>
            <w:r w:rsidRPr="00207200">
              <w:t>Caterpillar sample</w:t>
            </w:r>
            <w:r w:rsidR="00E71935" w:rsidRPr="00207200">
              <w:t xml:space="preserve"> reference code #1</w:t>
            </w:r>
          </w:p>
        </w:tc>
      </w:tr>
      <w:tr w:rsidR="0069502A" w14:paraId="2F19CBB4" w14:textId="77777777" w:rsidTr="00777D75">
        <w:trPr>
          <w:trHeight w:val="397"/>
        </w:trPr>
        <w:tc>
          <w:tcPr>
            <w:tcW w:w="4464" w:type="dxa"/>
            <w:shd w:val="clear" w:color="auto" w:fill="auto"/>
          </w:tcPr>
          <w:p w14:paraId="0E844046" w14:textId="592CC025" w:rsidR="0069502A" w:rsidRDefault="0069502A" w:rsidP="000F791D">
            <w:pPr>
              <w:spacing w:line="276" w:lineRule="auto"/>
            </w:pPr>
            <w:r>
              <w:t>‘</w:t>
            </w:r>
            <w:r w:rsidRPr="0069502A">
              <w:t>Provisional_ID</w:t>
            </w:r>
            <w:r>
              <w:t>’</w:t>
            </w:r>
          </w:p>
        </w:tc>
        <w:tc>
          <w:tcPr>
            <w:tcW w:w="4464" w:type="dxa"/>
            <w:shd w:val="clear" w:color="auto" w:fill="auto"/>
            <w:vAlign w:val="center"/>
          </w:tcPr>
          <w:p w14:paraId="02A2801F" w14:textId="5B21A783" w:rsidR="0069502A" w:rsidRDefault="0069502A" w:rsidP="000F791D">
            <w:pPr>
              <w:spacing w:line="276" w:lineRule="auto"/>
            </w:pPr>
            <w:r>
              <w:t>Provisional identification of caterpillar</w:t>
            </w:r>
          </w:p>
        </w:tc>
      </w:tr>
      <w:tr w:rsidR="0069502A" w14:paraId="2AD095B3" w14:textId="77777777" w:rsidTr="00777D75">
        <w:trPr>
          <w:trHeight w:val="397"/>
        </w:trPr>
        <w:tc>
          <w:tcPr>
            <w:tcW w:w="4464" w:type="dxa"/>
            <w:shd w:val="clear" w:color="auto" w:fill="auto"/>
          </w:tcPr>
          <w:p w14:paraId="56CC928F" w14:textId="0292341E" w:rsidR="0069502A" w:rsidRDefault="0069502A" w:rsidP="000F791D">
            <w:pPr>
              <w:spacing w:line="276" w:lineRule="auto"/>
            </w:pPr>
            <w:r>
              <w:t>‘</w:t>
            </w:r>
            <w:r w:rsidRPr="0069502A">
              <w:t>ID2</w:t>
            </w:r>
            <w:r>
              <w:t>’</w:t>
            </w:r>
          </w:p>
        </w:tc>
        <w:tc>
          <w:tcPr>
            <w:tcW w:w="4464" w:type="dxa"/>
            <w:shd w:val="clear" w:color="auto" w:fill="auto"/>
            <w:vAlign w:val="center"/>
          </w:tcPr>
          <w:p w14:paraId="011F5A1C" w14:textId="50551979" w:rsidR="0069502A" w:rsidRDefault="000C0D9D" w:rsidP="000F791D">
            <w:pPr>
              <w:spacing w:line="276" w:lineRule="auto"/>
            </w:pPr>
            <w:r>
              <w:t>Identification of caterpillar at broader taxonomic resolution</w:t>
            </w:r>
          </w:p>
        </w:tc>
      </w:tr>
      <w:tr w:rsidR="0069502A" w14:paraId="42CB5276" w14:textId="77777777" w:rsidTr="00777D75">
        <w:trPr>
          <w:trHeight w:val="397"/>
        </w:trPr>
        <w:tc>
          <w:tcPr>
            <w:tcW w:w="4464" w:type="dxa"/>
            <w:shd w:val="clear" w:color="auto" w:fill="auto"/>
          </w:tcPr>
          <w:p w14:paraId="622FD91A" w14:textId="65190D8F" w:rsidR="0069502A" w:rsidRDefault="0069502A" w:rsidP="000F791D">
            <w:pPr>
              <w:spacing w:line="276" w:lineRule="auto"/>
            </w:pPr>
            <w:r>
              <w:t>‘</w:t>
            </w:r>
            <w:r w:rsidRPr="0069502A">
              <w:t>Caterpillar_mass_mg</w:t>
            </w:r>
            <w:r>
              <w:t>’</w:t>
            </w:r>
          </w:p>
        </w:tc>
        <w:tc>
          <w:tcPr>
            <w:tcW w:w="4464" w:type="dxa"/>
            <w:shd w:val="clear" w:color="auto" w:fill="auto"/>
            <w:vAlign w:val="center"/>
          </w:tcPr>
          <w:p w14:paraId="60A8B241" w14:textId="7425A8BD" w:rsidR="0069502A" w:rsidRDefault="0069502A" w:rsidP="000F791D">
            <w:pPr>
              <w:spacing w:line="276" w:lineRule="auto"/>
            </w:pPr>
            <w:r>
              <w:t xml:space="preserve">Mass of caterpillar </w:t>
            </w:r>
            <w:r w:rsidR="00B3165F">
              <w:t>(</w:t>
            </w:r>
            <w:r>
              <w:t>mg</w:t>
            </w:r>
            <w:r w:rsidR="00B3165F">
              <w:t>)</w:t>
            </w:r>
          </w:p>
        </w:tc>
      </w:tr>
      <w:tr w:rsidR="000F791D" w14:paraId="2009DE68" w14:textId="77777777" w:rsidTr="00777D75">
        <w:trPr>
          <w:trHeight w:val="397"/>
        </w:trPr>
        <w:tc>
          <w:tcPr>
            <w:tcW w:w="4464" w:type="dxa"/>
            <w:shd w:val="clear" w:color="auto" w:fill="auto"/>
          </w:tcPr>
          <w:p w14:paraId="4AD82F0F" w14:textId="77777777" w:rsidR="000F791D" w:rsidRDefault="000F791D" w:rsidP="000F791D">
            <w:pPr>
              <w:spacing w:line="276" w:lineRule="auto"/>
            </w:pPr>
            <w:r>
              <w:t>‘</w:t>
            </w:r>
            <w:r w:rsidRPr="00B9492E">
              <w:t>DaysSince</w:t>
            </w:r>
            <w:r>
              <w:t>’</w:t>
            </w:r>
          </w:p>
        </w:tc>
        <w:tc>
          <w:tcPr>
            <w:tcW w:w="4464" w:type="dxa"/>
            <w:shd w:val="clear" w:color="auto" w:fill="auto"/>
            <w:vAlign w:val="center"/>
          </w:tcPr>
          <w:p w14:paraId="62924264" w14:textId="03415691" w:rsidR="000F791D" w:rsidRDefault="000F791D" w:rsidP="000F791D">
            <w:pPr>
              <w:spacing w:line="276" w:lineRule="auto"/>
            </w:pPr>
            <w:r w:rsidRPr="0069502A">
              <w:t xml:space="preserve">Days since </w:t>
            </w:r>
            <w:r w:rsidRPr="00B3165F">
              <w:t>start of sampling began</w:t>
            </w:r>
            <w:r w:rsidR="0069502A" w:rsidRPr="00B3165F">
              <w:t xml:space="preserve"> (only for grass margins)</w:t>
            </w:r>
          </w:p>
        </w:tc>
      </w:tr>
    </w:tbl>
    <w:p w14:paraId="5C268EA3" w14:textId="59B4208F" w:rsidR="000F791D" w:rsidRDefault="000F791D" w:rsidP="000F791D">
      <w:pPr>
        <w:spacing w:line="480" w:lineRule="auto"/>
      </w:pPr>
    </w:p>
    <w:p w14:paraId="6E51FB58" w14:textId="77777777" w:rsidR="00EA0B5D" w:rsidRPr="005274FA" w:rsidRDefault="00EA0B5D" w:rsidP="000F791D">
      <w:pPr>
        <w:spacing w:line="480" w:lineRule="auto"/>
      </w:pPr>
    </w:p>
    <w:p w14:paraId="791FF73F" w14:textId="77777777" w:rsidR="00B61438" w:rsidRDefault="00227D3F" w:rsidP="00853D7B">
      <w:pPr>
        <w:spacing w:line="276" w:lineRule="auto"/>
        <w:rPr>
          <w:sz w:val="20"/>
          <w:szCs w:val="20"/>
        </w:rPr>
      </w:pPr>
      <w:r>
        <w:rPr>
          <w:b/>
          <w:bCs/>
        </w:rPr>
        <w:br w:type="page"/>
      </w:r>
      <w:r w:rsidR="00B61438">
        <w:rPr>
          <w:b/>
          <w:bCs/>
        </w:rPr>
        <w:lastRenderedPageBreak/>
        <w:t>Data structure – field sites</w:t>
      </w:r>
    </w:p>
    <w:p w14:paraId="5A5D1E73" w14:textId="77777777" w:rsidR="00B61438" w:rsidRDefault="00B61438" w:rsidP="00853D7B">
      <w:pPr>
        <w:spacing w:line="276" w:lineRule="auto"/>
      </w:pPr>
      <w:r>
        <w:t xml:space="preserve">Information about the field sites is contained within </w:t>
      </w:r>
      <w:r w:rsidRPr="0068510D">
        <w:t>Boyes_et_al_2021_field_sites_data.csv</w:t>
      </w:r>
      <w:r>
        <w:t>.</w:t>
      </w:r>
    </w:p>
    <w:p w14:paraId="416617A4" w14:textId="77777777" w:rsidR="00B61438" w:rsidRDefault="00B61438" w:rsidP="00B61438">
      <w:pPr>
        <w:spacing w:line="276" w:lineRule="auto"/>
      </w:pPr>
      <w:r>
        <w:t>The following table details what data are contained within the different columns.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64"/>
        <w:gridCol w:w="4464"/>
      </w:tblGrid>
      <w:tr w:rsidR="00436D43" w:rsidRPr="007D08A3" w14:paraId="794BB13A" w14:textId="77777777" w:rsidTr="00853D7B">
        <w:trPr>
          <w:trHeight w:val="425"/>
        </w:trPr>
        <w:tc>
          <w:tcPr>
            <w:tcW w:w="4464" w:type="dxa"/>
            <w:shd w:val="clear" w:color="auto" w:fill="auto"/>
            <w:vAlign w:val="bottom"/>
          </w:tcPr>
          <w:p w14:paraId="0ED607EB" w14:textId="77777777" w:rsidR="00436D43" w:rsidRPr="007D08A3" w:rsidRDefault="00436D43" w:rsidP="00853D7B">
            <w:pPr>
              <w:spacing w:line="480" w:lineRule="auto"/>
              <w:rPr>
                <w:b/>
                <w:bCs/>
              </w:rPr>
            </w:pPr>
            <w:r w:rsidRPr="007D08A3">
              <w:rPr>
                <w:b/>
                <w:bCs/>
              </w:rPr>
              <w:t>Column title</w:t>
            </w:r>
          </w:p>
        </w:tc>
        <w:tc>
          <w:tcPr>
            <w:tcW w:w="4464" w:type="dxa"/>
            <w:shd w:val="clear" w:color="auto" w:fill="auto"/>
            <w:vAlign w:val="bottom"/>
          </w:tcPr>
          <w:p w14:paraId="43FA6D9B" w14:textId="77777777" w:rsidR="00436D43" w:rsidRPr="007D08A3" w:rsidRDefault="00436D43" w:rsidP="00853D7B">
            <w:pPr>
              <w:spacing w:line="480" w:lineRule="auto"/>
              <w:rPr>
                <w:b/>
                <w:bCs/>
              </w:rPr>
            </w:pPr>
            <w:r w:rsidRPr="007D08A3">
              <w:rPr>
                <w:b/>
                <w:bCs/>
              </w:rPr>
              <w:t>Description</w:t>
            </w:r>
          </w:p>
        </w:tc>
      </w:tr>
      <w:tr w:rsidR="00436D43" w:rsidRPr="007D08A3" w14:paraId="0EE0EB31" w14:textId="77777777" w:rsidTr="00853D7B">
        <w:trPr>
          <w:trHeight w:val="397"/>
        </w:trPr>
        <w:tc>
          <w:tcPr>
            <w:tcW w:w="4464" w:type="dxa"/>
            <w:shd w:val="clear" w:color="auto" w:fill="auto"/>
          </w:tcPr>
          <w:p w14:paraId="67DB0564" w14:textId="77777777" w:rsidR="00436D43" w:rsidRPr="00980CBC" w:rsidRDefault="00436D43" w:rsidP="00853D7B">
            <w:pPr>
              <w:spacing w:line="276" w:lineRule="auto"/>
            </w:pPr>
            <w:r>
              <w:t>‘</w:t>
            </w:r>
            <w:r w:rsidRPr="00B22B0B">
              <w:t>Old_Site_ID</w:t>
            </w:r>
            <w:r>
              <w:t>’</w:t>
            </w:r>
          </w:p>
        </w:tc>
        <w:tc>
          <w:tcPr>
            <w:tcW w:w="4464" w:type="dxa"/>
            <w:shd w:val="clear" w:color="auto" w:fill="auto"/>
            <w:vAlign w:val="center"/>
          </w:tcPr>
          <w:p w14:paraId="586AA8F7" w14:textId="77777777" w:rsidR="00436D43" w:rsidRPr="00980CBC" w:rsidRDefault="00436D43" w:rsidP="00853D7B">
            <w:pPr>
              <w:spacing w:line="276" w:lineRule="auto"/>
            </w:pPr>
            <w:r>
              <w:t>Site ID used at time of data collection</w:t>
            </w:r>
          </w:p>
        </w:tc>
      </w:tr>
      <w:tr w:rsidR="00436D43" w:rsidRPr="007D08A3" w14:paraId="5A9D46A8" w14:textId="77777777" w:rsidTr="00853D7B">
        <w:trPr>
          <w:trHeight w:val="397"/>
        </w:trPr>
        <w:tc>
          <w:tcPr>
            <w:tcW w:w="4464" w:type="dxa"/>
            <w:shd w:val="clear" w:color="auto" w:fill="auto"/>
          </w:tcPr>
          <w:p w14:paraId="65AB7A02" w14:textId="77777777" w:rsidR="00436D43" w:rsidRDefault="00436D43" w:rsidP="00853D7B">
            <w:pPr>
              <w:spacing w:line="276" w:lineRule="auto"/>
            </w:pPr>
            <w:r>
              <w:t>‘</w:t>
            </w:r>
            <w:r w:rsidRPr="00B22B0B">
              <w:t>SiteID_Fig</w:t>
            </w:r>
            <w:r>
              <w:t>’</w:t>
            </w:r>
          </w:p>
        </w:tc>
        <w:tc>
          <w:tcPr>
            <w:tcW w:w="4464" w:type="dxa"/>
            <w:shd w:val="clear" w:color="auto" w:fill="auto"/>
            <w:vAlign w:val="center"/>
          </w:tcPr>
          <w:p w14:paraId="7E749C4E" w14:textId="77777777" w:rsidR="00436D43" w:rsidRPr="00D57D0D" w:rsidRDefault="00436D43" w:rsidP="00853D7B">
            <w:pPr>
              <w:spacing w:line="276" w:lineRule="auto"/>
            </w:pPr>
            <w:r w:rsidRPr="00D57D0D">
              <w:t xml:space="preserve">Site ID used in </w:t>
            </w:r>
            <w:r>
              <w:t>Boyes et al., 2021.</w:t>
            </w:r>
            <w:r w:rsidRPr="00D57D0D">
              <w:t xml:space="preserve"> </w:t>
            </w:r>
          </w:p>
        </w:tc>
      </w:tr>
      <w:tr w:rsidR="00436D43" w:rsidRPr="007D08A3" w14:paraId="7484C8FA" w14:textId="77777777" w:rsidTr="00853D7B">
        <w:trPr>
          <w:trHeight w:val="397"/>
        </w:trPr>
        <w:tc>
          <w:tcPr>
            <w:tcW w:w="4464" w:type="dxa"/>
            <w:shd w:val="clear" w:color="auto" w:fill="auto"/>
          </w:tcPr>
          <w:p w14:paraId="5EAC91A4" w14:textId="77777777" w:rsidR="00436D43" w:rsidRDefault="00436D43" w:rsidP="00853D7B">
            <w:pPr>
              <w:spacing w:line="276" w:lineRule="auto"/>
            </w:pPr>
            <w:r>
              <w:t>‘</w:t>
            </w:r>
            <w:r w:rsidRPr="00B22B0B">
              <w:t>Sampling_meth</w:t>
            </w:r>
            <w:r>
              <w:t>’</w:t>
            </w:r>
          </w:p>
        </w:tc>
        <w:tc>
          <w:tcPr>
            <w:tcW w:w="4464" w:type="dxa"/>
            <w:shd w:val="clear" w:color="auto" w:fill="auto"/>
            <w:vAlign w:val="center"/>
          </w:tcPr>
          <w:p w14:paraId="1D5C2F06" w14:textId="77777777" w:rsidR="00436D43" w:rsidRPr="00D57D0D" w:rsidRDefault="00436D43" w:rsidP="00853D7B">
            <w:pPr>
              <w:spacing w:line="276" w:lineRule="auto"/>
            </w:pPr>
            <w:r w:rsidRPr="00D57D0D">
              <w:t xml:space="preserve">Sampling method: Grass </w:t>
            </w:r>
            <w:r>
              <w:t xml:space="preserve">margin, </w:t>
            </w:r>
            <w:r w:rsidRPr="00D57D0D">
              <w:t>Hedgerow</w:t>
            </w:r>
            <w:r>
              <w:t>,</w:t>
            </w:r>
            <w:r w:rsidRPr="00D57D0D">
              <w:t xml:space="preserve"> or</w:t>
            </w:r>
            <w:r>
              <w:t xml:space="preserve"> </w:t>
            </w:r>
            <w:r w:rsidRPr="00D57D0D">
              <w:t>both</w:t>
            </w:r>
            <w:r>
              <w:t>.</w:t>
            </w:r>
          </w:p>
        </w:tc>
      </w:tr>
      <w:tr w:rsidR="00436D43" w:rsidRPr="007D08A3" w14:paraId="50CE4787" w14:textId="77777777" w:rsidTr="00853D7B">
        <w:trPr>
          <w:trHeight w:val="397"/>
        </w:trPr>
        <w:tc>
          <w:tcPr>
            <w:tcW w:w="4464" w:type="dxa"/>
            <w:shd w:val="clear" w:color="auto" w:fill="auto"/>
          </w:tcPr>
          <w:p w14:paraId="251F09D2" w14:textId="77777777" w:rsidR="00436D43" w:rsidRDefault="00436D43" w:rsidP="00853D7B">
            <w:pPr>
              <w:spacing w:line="276" w:lineRule="auto"/>
            </w:pPr>
            <w:r>
              <w:t>‘</w:t>
            </w:r>
            <w:r w:rsidRPr="00980CBC">
              <w:t>Site</w:t>
            </w:r>
            <w:r>
              <w:t>_Name’</w:t>
            </w:r>
          </w:p>
        </w:tc>
        <w:tc>
          <w:tcPr>
            <w:tcW w:w="4464" w:type="dxa"/>
            <w:shd w:val="clear" w:color="auto" w:fill="auto"/>
            <w:vAlign w:val="center"/>
          </w:tcPr>
          <w:p w14:paraId="32C87F74" w14:textId="77777777" w:rsidR="00436D43" w:rsidRPr="00D57D0D" w:rsidRDefault="00436D43" w:rsidP="00853D7B">
            <w:pPr>
              <w:spacing w:line="276" w:lineRule="auto"/>
            </w:pPr>
            <w:r w:rsidRPr="00D57D0D">
              <w:t>The sampling site name</w:t>
            </w:r>
          </w:p>
        </w:tc>
      </w:tr>
      <w:tr w:rsidR="00436D43" w:rsidRPr="007D08A3" w14:paraId="28FC1F0A" w14:textId="77777777" w:rsidTr="00853D7B">
        <w:trPr>
          <w:trHeight w:val="656"/>
        </w:trPr>
        <w:tc>
          <w:tcPr>
            <w:tcW w:w="4464" w:type="dxa"/>
            <w:shd w:val="clear" w:color="auto" w:fill="auto"/>
          </w:tcPr>
          <w:p w14:paraId="149ADD56" w14:textId="77777777" w:rsidR="00436D43" w:rsidRDefault="00436D43" w:rsidP="00853D7B">
            <w:pPr>
              <w:spacing w:line="276" w:lineRule="auto"/>
            </w:pPr>
            <w:r>
              <w:t>‘</w:t>
            </w:r>
            <w:r>
              <w:rPr>
                <w:rFonts w:cs="Calibri"/>
                <w:color w:val="000000"/>
              </w:rPr>
              <w:t>Light_Type’</w:t>
            </w:r>
          </w:p>
        </w:tc>
        <w:tc>
          <w:tcPr>
            <w:tcW w:w="4464" w:type="dxa"/>
            <w:shd w:val="clear" w:color="auto" w:fill="auto"/>
          </w:tcPr>
          <w:p w14:paraId="1429F72C" w14:textId="77777777" w:rsidR="00436D43" w:rsidRPr="00D57D0D" w:rsidRDefault="00436D43" w:rsidP="00853D7B">
            <w:pPr>
              <w:spacing w:after="0" w:line="240" w:lineRule="auto"/>
            </w:pPr>
            <w:r w:rsidRPr="00D57D0D">
              <w:t>The type of light installed in the lit section of the site.</w:t>
            </w:r>
          </w:p>
        </w:tc>
      </w:tr>
      <w:tr w:rsidR="00436D43" w:rsidRPr="007D08A3" w14:paraId="1D2E4E7D" w14:textId="77777777" w:rsidTr="00853D7B">
        <w:trPr>
          <w:trHeight w:val="397"/>
        </w:trPr>
        <w:tc>
          <w:tcPr>
            <w:tcW w:w="4464" w:type="dxa"/>
            <w:shd w:val="clear" w:color="auto" w:fill="auto"/>
          </w:tcPr>
          <w:p w14:paraId="6B3F841E" w14:textId="77777777" w:rsidR="00436D43" w:rsidRDefault="00436D43" w:rsidP="00853D7B">
            <w:pPr>
              <w:spacing w:line="276" w:lineRule="auto"/>
            </w:pPr>
            <w:r>
              <w:t>‘</w:t>
            </w:r>
            <w:r w:rsidRPr="00B22B0B">
              <w:t>Lit_transect_centroid</w:t>
            </w:r>
            <w:r>
              <w:t>’</w:t>
            </w:r>
          </w:p>
        </w:tc>
        <w:tc>
          <w:tcPr>
            <w:tcW w:w="4464" w:type="dxa"/>
            <w:shd w:val="clear" w:color="auto" w:fill="auto"/>
            <w:vAlign w:val="center"/>
          </w:tcPr>
          <w:p w14:paraId="7EBC69A8" w14:textId="77777777" w:rsidR="00436D43" w:rsidRPr="00D57D0D" w:rsidRDefault="00436D43" w:rsidP="00853D7B">
            <w:pPr>
              <w:spacing w:line="276" w:lineRule="auto"/>
            </w:pPr>
            <w:r w:rsidRPr="00D57D0D">
              <w:t>The central OS Grid Reference for the lit section of transect</w:t>
            </w:r>
          </w:p>
        </w:tc>
      </w:tr>
      <w:tr w:rsidR="00436D43" w:rsidRPr="007D08A3" w14:paraId="79267685" w14:textId="77777777" w:rsidTr="00853D7B">
        <w:trPr>
          <w:trHeight w:val="397"/>
        </w:trPr>
        <w:tc>
          <w:tcPr>
            <w:tcW w:w="4464" w:type="dxa"/>
            <w:shd w:val="clear" w:color="auto" w:fill="auto"/>
          </w:tcPr>
          <w:p w14:paraId="1485E003" w14:textId="77777777" w:rsidR="00436D43" w:rsidRPr="00980CBC" w:rsidRDefault="00436D43" w:rsidP="00853D7B">
            <w:pPr>
              <w:spacing w:line="276" w:lineRule="auto"/>
            </w:pPr>
            <w:r>
              <w:t>‘</w:t>
            </w:r>
            <w:r w:rsidRPr="00B22B0B">
              <w:t>Lit_transect_E</w:t>
            </w:r>
            <w:r>
              <w:t>’</w:t>
            </w:r>
          </w:p>
        </w:tc>
        <w:tc>
          <w:tcPr>
            <w:tcW w:w="4464" w:type="dxa"/>
            <w:shd w:val="clear" w:color="auto" w:fill="auto"/>
            <w:vAlign w:val="center"/>
          </w:tcPr>
          <w:p w14:paraId="6EEF9B51" w14:textId="77777777" w:rsidR="00436D43" w:rsidRPr="00D57D0D" w:rsidRDefault="00436D43" w:rsidP="00853D7B">
            <w:pPr>
              <w:spacing w:line="276" w:lineRule="auto"/>
            </w:pPr>
            <w:r w:rsidRPr="00D57D0D">
              <w:t>Eastings for the lit transect (centroid)</w:t>
            </w:r>
          </w:p>
        </w:tc>
      </w:tr>
      <w:tr w:rsidR="00436D43" w:rsidRPr="007D08A3" w14:paraId="5DF7D50C" w14:textId="77777777" w:rsidTr="00853D7B">
        <w:trPr>
          <w:trHeight w:val="397"/>
        </w:trPr>
        <w:tc>
          <w:tcPr>
            <w:tcW w:w="4464" w:type="dxa"/>
            <w:shd w:val="clear" w:color="auto" w:fill="auto"/>
          </w:tcPr>
          <w:p w14:paraId="539DD582" w14:textId="77777777" w:rsidR="00436D43" w:rsidRDefault="00436D43" w:rsidP="00853D7B">
            <w:pPr>
              <w:spacing w:line="276" w:lineRule="auto"/>
            </w:pPr>
            <w:r>
              <w:t>‘</w:t>
            </w:r>
            <w:r w:rsidRPr="00646DA2">
              <w:t>Lit_transect_N</w:t>
            </w:r>
            <w:r>
              <w:t>’</w:t>
            </w:r>
          </w:p>
        </w:tc>
        <w:tc>
          <w:tcPr>
            <w:tcW w:w="4464" w:type="dxa"/>
            <w:shd w:val="clear" w:color="auto" w:fill="auto"/>
            <w:vAlign w:val="center"/>
          </w:tcPr>
          <w:p w14:paraId="6914CC8B" w14:textId="77777777" w:rsidR="00436D43" w:rsidRPr="00D57D0D" w:rsidRDefault="00436D43" w:rsidP="00853D7B">
            <w:pPr>
              <w:spacing w:line="276" w:lineRule="auto"/>
            </w:pPr>
            <w:r w:rsidRPr="00D57D0D">
              <w:t>Northings for the lit transect (centroid)</w:t>
            </w:r>
          </w:p>
        </w:tc>
      </w:tr>
      <w:tr w:rsidR="00436D43" w:rsidRPr="007D08A3" w14:paraId="669A2C46" w14:textId="77777777" w:rsidTr="00853D7B">
        <w:trPr>
          <w:trHeight w:val="397"/>
        </w:trPr>
        <w:tc>
          <w:tcPr>
            <w:tcW w:w="4464" w:type="dxa"/>
            <w:shd w:val="clear" w:color="auto" w:fill="auto"/>
          </w:tcPr>
          <w:p w14:paraId="07B5246D" w14:textId="77777777" w:rsidR="00436D43" w:rsidRDefault="00436D43" w:rsidP="00853D7B">
            <w:pPr>
              <w:spacing w:line="276" w:lineRule="auto"/>
            </w:pPr>
            <w:r>
              <w:t>‘</w:t>
            </w:r>
            <w:r w:rsidRPr="00646DA2">
              <w:t>Lit_transect_lat</w:t>
            </w:r>
            <w:r>
              <w:t>’</w:t>
            </w:r>
          </w:p>
        </w:tc>
        <w:tc>
          <w:tcPr>
            <w:tcW w:w="4464" w:type="dxa"/>
            <w:shd w:val="clear" w:color="auto" w:fill="auto"/>
            <w:vAlign w:val="center"/>
          </w:tcPr>
          <w:p w14:paraId="4B430EC3" w14:textId="77777777" w:rsidR="00436D43" w:rsidRPr="00D57D0D" w:rsidRDefault="00436D43" w:rsidP="00853D7B">
            <w:pPr>
              <w:spacing w:line="276" w:lineRule="auto"/>
            </w:pPr>
            <w:r w:rsidRPr="00D57D0D">
              <w:t>Latitude of the lit transect (centroid)</w:t>
            </w:r>
          </w:p>
        </w:tc>
      </w:tr>
      <w:tr w:rsidR="00436D43" w:rsidRPr="007D08A3" w14:paraId="14B100BC" w14:textId="77777777" w:rsidTr="00853D7B">
        <w:trPr>
          <w:trHeight w:val="397"/>
        </w:trPr>
        <w:tc>
          <w:tcPr>
            <w:tcW w:w="4464" w:type="dxa"/>
            <w:shd w:val="clear" w:color="auto" w:fill="auto"/>
          </w:tcPr>
          <w:p w14:paraId="43A166AD" w14:textId="77777777" w:rsidR="00436D43" w:rsidRPr="00980CBC" w:rsidRDefault="00436D43" w:rsidP="00853D7B">
            <w:pPr>
              <w:spacing w:line="276" w:lineRule="auto"/>
            </w:pPr>
            <w:r>
              <w:t>‘</w:t>
            </w:r>
            <w:r w:rsidRPr="00646DA2">
              <w:t>Lit_transect_long</w:t>
            </w:r>
            <w:r>
              <w:t>’</w:t>
            </w:r>
          </w:p>
        </w:tc>
        <w:tc>
          <w:tcPr>
            <w:tcW w:w="4464" w:type="dxa"/>
            <w:shd w:val="clear" w:color="auto" w:fill="auto"/>
            <w:vAlign w:val="center"/>
          </w:tcPr>
          <w:p w14:paraId="21ECCE3F" w14:textId="77777777" w:rsidR="00436D43" w:rsidRPr="00D57D0D" w:rsidRDefault="00436D43" w:rsidP="00853D7B">
            <w:pPr>
              <w:spacing w:line="276" w:lineRule="auto"/>
            </w:pPr>
            <w:r w:rsidRPr="00D57D0D">
              <w:t>Longitude of the lit transect (centroid)</w:t>
            </w:r>
          </w:p>
        </w:tc>
      </w:tr>
      <w:tr w:rsidR="00436D43" w:rsidRPr="007D08A3" w14:paraId="503868A7" w14:textId="77777777" w:rsidTr="00853D7B">
        <w:trPr>
          <w:trHeight w:val="397"/>
        </w:trPr>
        <w:tc>
          <w:tcPr>
            <w:tcW w:w="4464" w:type="dxa"/>
            <w:shd w:val="clear" w:color="auto" w:fill="auto"/>
          </w:tcPr>
          <w:p w14:paraId="6575E876" w14:textId="77777777" w:rsidR="00436D43" w:rsidRDefault="00436D43" w:rsidP="00853D7B">
            <w:pPr>
              <w:spacing w:line="276" w:lineRule="auto"/>
            </w:pPr>
            <w:r>
              <w:t>‘</w:t>
            </w:r>
            <w:r w:rsidRPr="00646DA2">
              <w:t>Hedge_mean</w:t>
            </w:r>
            <w:r>
              <w:t>_illumination”</w:t>
            </w:r>
          </w:p>
        </w:tc>
        <w:tc>
          <w:tcPr>
            <w:tcW w:w="4464" w:type="dxa"/>
            <w:shd w:val="clear" w:color="auto" w:fill="auto"/>
            <w:vAlign w:val="center"/>
          </w:tcPr>
          <w:p w14:paraId="7763F199" w14:textId="77777777" w:rsidR="00436D43" w:rsidRPr="00D57D0D" w:rsidRDefault="00436D43" w:rsidP="00853D7B">
            <w:pPr>
              <w:spacing w:line="276" w:lineRule="auto"/>
            </w:pPr>
            <w:r w:rsidRPr="00D57D0D">
              <w:t>The mean light intensity measured in lux at 1.25 m from the ground (lux).</w:t>
            </w:r>
          </w:p>
        </w:tc>
      </w:tr>
      <w:tr w:rsidR="00436D43" w:rsidRPr="007D08A3" w14:paraId="77024258" w14:textId="77777777" w:rsidTr="00853D7B">
        <w:trPr>
          <w:trHeight w:val="397"/>
        </w:trPr>
        <w:tc>
          <w:tcPr>
            <w:tcW w:w="4464" w:type="dxa"/>
            <w:shd w:val="clear" w:color="auto" w:fill="auto"/>
          </w:tcPr>
          <w:p w14:paraId="1F13A211" w14:textId="77777777" w:rsidR="00436D43" w:rsidRDefault="00436D43" w:rsidP="00853D7B">
            <w:pPr>
              <w:spacing w:line="276" w:lineRule="auto"/>
            </w:pPr>
            <w:r>
              <w:t>‘</w:t>
            </w:r>
            <w:r w:rsidRPr="00646DA2">
              <w:t>Grass_mean</w:t>
            </w:r>
            <w:r>
              <w:t>_illumination’</w:t>
            </w:r>
          </w:p>
        </w:tc>
        <w:tc>
          <w:tcPr>
            <w:tcW w:w="4464" w:type="dxa"/>
            <w:shd w:val="clear" w:color="auto" w:fill="auto"/>
            <w:vAlign w:val="center"/>
          </w:tcPr>
          <w:p w14:paraId="4F3D2005" w14:textId="77777777" w:rsidR="00436D43" w:rsidRPr="00D57D0D" w:rsidRDefault="00436D43" w:rsidP="00853D7B">
            <w:pPr>
              <w:spacing w:line="276" w:lineRule="auto"/>
            </w:pPr>
            <w:r w:rsidRPr="00D57D0D">
              <w:t>The mean light intensity measured in at grass height, 0.25 m from the ground (lux).</w:t>
            </w:r>
          </w:p>
        </w:tc>
      </w:tr>
      <w:tr w:rsidR="00436D43" w:rsidRPr="007D08A3" w14:paraId="4A55B325" w14:textId="77777777" w:rsidTr="00853D7B">
        <w:trPr>
          <w:trHeight w:val="397"/>
        </w:trPr>
        <w:tc>
          <w:tcPr>
            <w:tcW w:w="4464" w:type="dxa"/>
            <w:shd w:val="clear" w:color="auto" w:fill="auto"/>
          </w:tcPr>
          <w:p w14:paraId="2CB824B4" w14:textId="77777777" w:rsidR="00436D43" w:rsidRDefault="00436D43" w:rsidP="00853D7B">
            <w:pPr>
              <w:spacing w:line="276" w:lineRule="auto"/>
            </w:pPr>
            <w:r>
              <w:t>‘</w:t>
            </w:r>
            <w:r w:rsidRPr="009B1C3D">
              <w:t>Dist_between_trans</w:t>
            </w:r>
            <w:r>
              <w:t>’</w:t>
            </w:r>
          </w:p>
        </w:tc>
        <w:tc>
          <w:tcPr>
            <w:tcW w:w="4464" w:type="dxa"/>
            <w:shd w:val="clear" w:color="auto" w:fill="auto"/>
            <w:vAlign w:val="center"/>
          </w:tcPr>
          <w:p w14:paraId="2F64D540" w14:textId="77777777" w:rsidR="00436D43" w:rsidRPr="00D57D0D" w:rsidRDefault="00436D43" w:rsidP="00853D7B">
            <w:pPr>
              <w:spacing w:line="276" w:lineRule="auto"/>
            </w:pPr>
            <w:r w:rsidRPr="00D57D0D">
              <w:t xml:space="preserve">The distance between the lit and unlit transects, in meters, at each site. </w:t>
            </w:r>
          </w:p>
        </w:tc>
      </w:tr>
      <w:tr w:rsidR="00436D43" w:rsidRPr="007D08A3" w14:paraId="40D3EA4F" w14:textId="77777777" w:rsidTr="00853D7B">
        <w:trPr>
          <w:trHeight w:val="397"/>
        </w:trPr>
        <w:tc>
          <w:tcPr>
            <w:tcW w:w="4464" w:type="dxa"/>
            <w:shd w:val="clear" w:color="auto" w:fill="auto"/>
          </w:tcPr>
          <w:p w14:paraId="54C66370" w14:textId="77777777" w:rsidR="00436D43" w:rsidRDefault="00436D43" w:rsidP="00853D7B">
            <w:pPr>
              <w:spacing w:line="276" w:lineRule="auto"/>
            </w:pPr>
            <w:r>
              <w:t>‘</w:t>
            </w:r>
            <w:r w:rsidRPr="00646DA2">
              <w:t>Unlit_transect_Centroid</w:t>
            </w:r>
            <w:r>
              <w:t>’</w:t>
            </w:r>
          </w:p>
        </w:tc>
        <w:tc>
          <w:tcPr>
            <w:tcW w:w="4464" w:type="dxa"/>
            <w:shd w:val="clear" w:color="auto" w:fill="auto"/>
            <w:vAlign w:val="center"/>
          </w:tcPr>
          <w:p w14:paraId="59E1A716" w14:textId="77777777" w:rsidR="00436D43" w:rsidRPr="00D57D0D" w:rsidRDefault="00436D43" w:rsidP="00853D7B">
            <w:pPr>
              <w:spacing w:line="276" w:lineRule="auto"/>
            </w:pPr>
            <w:r w:rsidRPr="00D57D0D">
              <w:t>The central OS Grid Reference for the unlit section of transect</w:t>
            </w:r>
          </w:p>
        </w:tc>
      </w:tr>
      <w:tr w:rsidR="00436D43" w:rsidRPr="007D08A3" w14:paraId="12603CB4" w14:textId="77777777" w:rsidTr="00853D7B">
        <w:trPr>
          <w:trHeight w:val="397"/>
        </w:trPr>
        <w:tc>
          <w:tcPr>
            <w:tcW w:w="4464" w:type="dxa"/>
            <w:shd w:val="clear" w:color="auto" w:fill="auto"/>
          </w:tcPr>
          <w:p w14:paraId="1CD0A115" w14:textId="77777777" w:rsidR="00436D43" w:rsidRDefault="00436D43" w:rsidP="00853D7B">
            <w:pPr>
              <w:spacing w:line="276" w:lineRule="auto"/>
            </w:pPr>
            <w:r>
              <w:t>‘</w:t>
            </w:r>
            <w:r w:rsidRPr="00646DA2">
              <w:t>Unlit_ transect_ E</w:t>
            </w:r>
            <w:r>
              <w:t>’</w:t>
            </w:r>
          </w:p>
        </w:tc>
        <w:tc>
          <w:tcPr>
            <w:tcW w:w="4464" w:type="dxa"/>
            <w:shd w:val="clear" w:color="auto" w:fill="auto"/>
            <w:vAlign w:val="center"/>
          </w:tcPr>
          <w:p w14:paraId="0AC067F1" w14:textId="77777777" w:rsidR="00436D43" w:rsidRPr="00D57D0D" w:rsidRDefault="00436D43" w:rsidP="00853D7B">
            <w:pPr>
              <w:spacing w:line="276" w:lineRule="auto"/>
            </w:pPr>
            <w:r w:rsidRPr="00D57D0D">
              <w:t>Eastings for the unlit transect</w:t>
            </w:r>
          </w:p>
        </w:tc>
      </w:tr>
      <w:tr w:rsidR="00436D43" w:rsidRPr="007D08A3" w14:paraId="4C67B190" w14:textId="77777777" w:rsidTr="00853D7B">
        <w:trPr>
          <w:trHeight w:val="397"/>
        </w:trPr>
        <w:tc>
          <w:tcPr>
            <w:tcW w:w="4464" w:type="dxa"/>
            <w:shd w:val="clear" w:color="auto" w:fill="auto"/>
          </w:tcPr>
          <w:p w14:paraId="1105890E" w14:textId="77777777" w:rsidR="00436D43" w:rsidRDefault="00436D43" w:rsidP="00853D7B">
            <w:pPr>
              <w:spacing w:line="276" w:lineRule="auto"/>
            </w:pPr>
            <w:r>
              <w:t>‘</w:t>
            </w:r>
            <w:r w:rsidRPr="00646DA2">
              <w:t>Unlit_ transect_ N</w:t>
            </w:r>
            <w:r>
              <w:t>’</w:t>
            </w:r>
          </w:p>
        </w:tc>
        <w:tc>
          <w:tcPr>
            <w:tcW w:w="4464" w:type="dxa"/>
            <w:shd w:val="clear" w:color="auto" w:fill="auto"/>
            <w:vAlign w:val="center"/>
          </w:tcPr>
          <w:p w14:paraId="1C679263" w14:textId="77777777" w:rsidR="00436D43" w:rsidRPr="00D57D0D" w:rsidRDefault="00436D43" w:rsidP="00853D7B">
            <w:pPr>
              <w:spacing w:line="276" w:lineRule="auto"/>
            </w:pPr>
            <w:r w:rsidRPr="00D57D0D">
              <w:t>Northings for the unlit transect</w:t>
            </w:r>
          </w:p>
        </w:tc>
      </w:tr>
      <w:tr w:rsidR="00436D43" w:rsidRPr="007D08A3" w14:paraId="3F5C5652" w14:textId="77777777" w:rsidTr="00853D7B">
        <w:trPr>
          <w:trHeight w:val="397"/>
        </w:trPr>
        <w:tc>
          <w:tcPr>
            <w:tcW w:w="4464" w:type="dxa"/>
            <w:shd w:val="clear" w:color="auto" w:fill="auto"/>
          </w:tcPr>
          <w:p w14:paraId="4113B3BC" w14:textId="77777777" w:rsidR="00436D43" w:rsidRDefault="00436D43" w:rsidP="00853D7B">
            <w:pPr>
              <w:spacing w:line="276" w:lineRule="auto"/>
            </w:pPr>
            <w:r>
              <w:t>‘</w:t>
            </w:r>
            <w:r w:rsidRPr="00646DA2">
              <w:t>Unlit_ transect_ Lat</w:t>
            </w:r>
            <w:r>
              <w:t>’</w:t>
            </w:r>
          </w:p>
        </w:tc>
        <w:tc>
          <w:tcPr>
            <w:tcW w:w="4464" w:type="dxa"/>
            <w:shd w:val="clear" w:color="auto" w:fill="auto"/>
            <w:vAlign w:val="center"/>
          </w:tcPr>
          <w:p w14:paraId="2BE305A5" w14:textId="77777777" w:rsidR="00436D43" w:rsidRPr="00D57D0D" w:rsidRDefault="00436D43" w:rsidP="00853D7B">
            <w:pPr>
              <w:spacing w:line="276" w:lineRule="auto"/>
            </w:pPr>
            <w:r w:rsidRPr="00D57D0D">
              <w:t>Latitude of the unlit transect</w:t>
            </w:r>
          </w:p>
        </w:tc>
      </w:tr>
      <w:tr w:rsidR="00436D43" w:rsidRPr="007D08A3" w14:paraId="3606FC60" w14:textId="77777777" w:rsidTr="00853D7B">
        <w:trPr>
          <w:trHeight w:val="397"/>
        </w:trPr>
        <w:tc>
          <w:tcPr>
            <w:tcW w:w="4464" w:type="dxa"/>
            <w:shd w:val="clear" w:color="auto" w:fill="auto"/>
          </w:tcPr>
          <w:p w14:paraId="54685749" w14:textId="77777777" w:rsidR="00436D43" w:rsidRDefault="00436D43" w:rsidP="00853D7B">
            <w:pPr>
              <w:spacing w:line="276" w:lineRule="auto"/>
            </w:pPr>
            <w:r>
              <w:t>‘</w:t>
            </w:r>
            <w:r w:rsidRPr="00646DA2">
              <w:t>Unlit_ transect_Long</w:t>
            </w:r>
            <w:r>
              <w:t>’</w:t>
            </w:r>
          </w:p>
        </w:tc>
        <w:tc>
          <w:tcPr>
            <w:tcW w:w="4464" w:type="dxa"/>
            <w:shd w:val="clear" w:color="auto" w:fill="auto"/>
            <w:vAlign w:val="center"/>
          </w:tcPr>
          <w:p w14:paraId="41E98102" w14:textId="77777777" w:rsidR="00436D43" w:rsidRPr="00D57D0D" w:rsidRDefault="00436D43" w:rsidP="00853D7B">
            <w:pPr>
              <w:spacing w:line="276" w:lineRule="auto"/>
            </w:pPr>
            <w:r w:rsidRPr="00D57D0D">
              <w:t>Longitude of the unlit transect</w:t>
            </w:r>
          </w:p>
        </w:tc>
      </w:tr>
      <w:tr w:rsidR="00436D43" w:rsidRPr="007D08A3" w14:paraId="5EFE81F7" w14:textId="77777777" w:rsidTr="00853D7B">
        <w:trPr>
          <w:trHeight w:val="397"/>
        </w:trPr>
        <w:tc>
          <w:tcPr>
            <w:tcW w:w="4464" w:type="dxa"/>
            <w:shd w:val="clear" w:color="auto" w:fill="auto"/>
          </w:tcPr>
          <w:p w14:paraId="450CAFC3" w14:textId="77777777" w:rsidR="00436D43" w:rsidRPr="00980CBC" w:rsidRDefault="00436D43" w:rsidP="00853D7B">
            <w:pPr>
              <w:spacing w:line="276" w:lineRule="auto"/>
            </w:pPr>
            <w:r>
              <w:t>‘</w:t>
            </w:r>
            <w:r w:rsidRPr="00646DA2">
              <w:t>Lit_100_urban</w:t>
            </w:r>
            <w:r>
              <w:t>’</w:t>
            </w:r>
          </w:p>
        </w:tc>
        <w:tc>
          <w:tcPr>
            <w:tcW w:w="4464" w:type="dxa"/>
            <w:shd w:val="clear" w:color="auto" w:fill="auto"/>
            <w:vAlign w:val="center"/>
          </w:tcPr>
          <w:p w14:paraId="12BFB139" w14:textId="77777777" w:rsidR="00436D43" w:rsidRPr="00D57D0D" w:rsidRDefault="00436D43" w:rsidP="00853D7B">
            <w:pPr>
              <w:spacing w:line="276" w:lineRule="auto"/>
            </w:pPr>
            <w:r w:rsidRPr="00D57D0D">
              <w:t xml:space="preserve">Lit area in square meters within 100 meters of transect centroid classified as urban on CEH 2017 landcover map. </w:t>
            </w:r>
          </w:p>
        </w:tc>
      </w:tr>
      <w:tr w:rsidR="00436D43" w:rsidRPr="007D08A3" w14:paraId="63F52293" w14:textId="77777777" w:rsidTr="00853D7B">
        <w:trPr>
          <w:trHeight w:val="397"/>
        </w:trPr>
        <w:tc>
          <w:tcPr>
            <w:tcW w:w="4464" w:type="dxa"/>
            <w:shd w:val="clear" w:color="auto" w:fill="auto"/>
          </w:tcPr>
          <w:p w14:paraId="64CCCBA7" w14:textId="77777777" w:rsidR="00436D43" w:rsidRPr="00980CBC" w:rsidRDefault="00436D43" w:rsidP="00853D7B">
            <w:pPr>
              <w:spacing w:line="276" w:lineRule="auto"/>
            </w:pPr>
            <w:r>
              <w:t>‘</w:t>
            </w:r>
            <w:r w:rsidRPr="00646DA2">
              <w:t>Lit_250_urban</w:t>
            </w:r>
            <w:r>
              <w:t>’</w:t>
            </w:r>
          </w:p>
        </w:tc>
        <w:tc>
          <w:tcPr>
            <w:tcW w:w="4464" w:type="dxa"/>
            <w:shd w:val="clear" w:color="auto" w:fill="auto"/>
            <w:vAlign w:val="center"/>
          </w:tcPr>
          <w:p w14:paraId="1FADA73A" w14:textId="77777777" w:rsidR="00436D43" w:rsidRPr="00D57D0D" w:rsidRDefault="00436D43" w:rsidP="00853D7B">
            <w:pPr>
              <w:spacing w:line="276" w:lineRule="auto"/>
            </w:pPr>
            <w:r w:rsidRPr="00D57D0D">
              <w:t xml:space="preserve">Lit area in square meters within 250 meters of transect centroid classified as urban on CEH </w:t>
            </w:r>
            <w:r w:rsidRPr="00D57D0D">
              <w:lastRenderedPageBreak/>
              <w:t>2017 landcover map.</w:t>
            </w:r>
          </w:p>
        </w:tc>
      </w:tr>
      <w:tr w:rsidR="00436D43" w:rsidRPr="007D08A3" w14:paraId="64377CD6" w14:textId="77777777" w:rsidTr="00853D7B">
        <w:trPr>
          <w:trHeight w:val="397"/>
        </w:trPr>
        <w:tc>
          <w:tcPr>
            <w:tcW w:w="4464" w:type="dxa"/>
            <w:shd w:val="clear" w:color="auto" w:fill="auto"/>
          </w:tcPr>
          <w:p w14:paraId="4E3C5EAF" w14:textId="77777777" w:rsidR="00436D43" w:rsidRPr="00980CBC" w:rsidRDefault="00436D43" w:rsidP="00853D7B">
            <w:pPr>
              <w:spacing w:line="276" w:lineRule="auto"/>
            </w:pPr>
            <w:r>
              <w:lastRenderedPageBreak/>
              <w:t>‘</w:t>
            </w:r>
            <w:r w:rsidRPr="00646DA2">
              <w:t>Lit_500_urban</w:t>
            </w:r>
            <w:r>
              <w:t>’</w:t>
            </w:r>
          </w:p>
        </w:tc>
        <w:tc>
          <w:tcPr>
            <w:tcW w:w="4464" w:type="dxa"/>
            <w:shd w:val="clear" w:color="auto" w:fill="auto"/>
            <w:vAlign w:val="center"/>
          </w:tcPr>
          <w:p w14:paraId="7D092E05" w14:textId="77777777" w:rsidR="00436D43" w:rsidRPr="00D57D0D" w:rsidRDefault="00436D43" w:rsidP="00853D7B">
            <w:pPr>
              <w:spacing w:line="276" w:lineRule="auto"/>
            </w:pPr>
            <w:r w:rsidRPr="00D57D0D">
              <w:t>Lit area in square meters within 500 meters of transect centroid classified as urban on CEH 2017 landcover map.</w:t>
            </w:r>
          </w:p>
        </w:tc>
      </w:tr>
      <w:tr w:rsidR="00436D43" w:rsidRPr="007D08A3" w14:paraId="2A42C7EF" w14:textId="77777777" w:rsidTr="00853D7B">
        <w:trPr>
          <w:trHeight w:val="397"/>
        </w:trPr>
        <w:tc>
          <w:tcPr>
            <w:tcW w:w="4464" w:type="dxa"/>
            <w:shd w:val="clear" w:color="auto" w:fill="auto"/>
          </w:tcPr>
          <w:p w14:paraId="3FBD03DF" w14:textId="77777777" w:rsidR="00436D43" w:rsidRPr="00980CBC" w:rsidRDefault="00436D43" w:rsidP="00853D7B">
            <w:pPr>
              <w:spacing w:line="276" w:lineRule="auto"/>
            </w:pPr>
            <w:r>
              <w:t>‘</w:t>
            </w:r>
            <w:r>
              <w:rPr>
                <w:rFonts w:cs="Calibri"/>
                <w:color w:val="000000"/>
              </w:rPr>
              <w:t>Unlit_100_urban</w:t>
            </w:r>
            <w:r>
              <w:t>‘</w:t>
            </w:r>
          </w:p>
        </w:tc>
        <w:tc>
          <w:tcPr>
            <w:tcW w:w="4464" w:type="dxa"/>
            <w:shd w:val="clear" w:color="auto" w:fill="auto"/>
            <w:vAlign w:val="center"/>
          </w:tcPr>
          <w:p w14:paraId="514A4B97" w14:textId="77777777" w:rsidR="00436D43" w:rsidRPr="00D57D0D" w:rsidRDefault="00436D43" w:rsidP="00853D7B">
            <w:pPr>
              <w:spacing w:line="276" w:lineRule="auto"/>
            </w:pPr>
            <w:r w:rsidRPr="00D57D0D">
              <w:t xml:space="preserve">Unlit area in square meters within 100 meters of transect centroid classified as urban on CEH 2017 landcover map. </w:t>
            </w:r>
          </w:p>
        </w:tc>
      </w:tr>
      <w:tr w:rsidR="00436D43" w:rsidRPr="007D08A3" w14:paraId="22E7729B" w14:textId="77777777" w:rsidTr="00853D7B">
        <w:trPr>
          <w:trHeight w:val="397"/>
        </w:trPr>
        <w:tc>
          <w:tcPr>
            <w:tcW w:w="4464" w:type="dxa"/>
            <w:shd w:val="clear" w:color="auto" w:fill="auto"/>
          </w:tcPr>
          <w:p w14:paraId="5EFCDAC3" w14:textId="77777777" w:rsidR="00436D43" w:rsidRPr="00980CBC" w:rsidRDefault="00436D43" w:rsidP="00853D7B">
            <w:pPr>
              <w:spacing w:line="276" w:lineRule="auto"/>
            </w:pPr>
            <w:r>
              <w:t>‘</w:t>
            </w:r>
            <w:r w:rsidRPr="00646DA2">
              <w:t>Unlit_250_urban</w:t>
            </w:r>
            <w:r>
              <w:t>’</w:t>
            </w:r>
          </w:p>
        </w:tc>
        <w:tc>
          <w:tcPr>
            <w:tcW w:w="4464" w:type="dxa"/>
            <w:shd w:val="clear" w:color="auto" w:fill="auto"/>
            <w:vAlign w:val="center"/>
          </w:tcPr>
          <w:p w14:paraId="25615ADC" w14:textId="77777777" w:rsidR="00436D43" w:rsidRPr="00D57D0D" w:rsidRDefault="00436D43" w:rsidP="00853D7B">
            <w:pPr>
              <w:spacing w:line="276" w:lineRule="auto"/>
            </w:pPr>
            <w:r w:rsidRPr="00D57D0D">
              <w:t xml:space="preserve">Unlit area in square meters within 250 meters of transect centroid classified as urban on CEH 2017 landcover map. </w:t>
            </w:r>
          </w:p>
        </w:tc>
      </w:tr>
      <w:tr w:rsidR="00436D43" w:rsidRPr="007D08A3" w14:paraId="2E1867FA" w14:textId="77777777" w:rsidTr="00853D7B">
        <w:trPr>
          <w:trHeight w:val="397"/>
        </w:trPr>
        <w:tc>
          <w:tcPr>
            <w:tcW w:w="4464" w:type="dxa"/>
            <w:shd w:val="clear" w:color="auto" w:fill="auto"/>
          </w:tcPr>
          <w:p w14:paraId="24245F21" w14:textId="77777777" w:rsidR="00436D43" w:rsidRPr="00980CBC" w:rsidRDefault="00436D43" w:rsidP="00853D7B">
            <w:pPr>
              <w:spacing w:line="276" w:lineRule="auto"/>
            </w:pPr>
            <w:r>
              <w:t>‘U</w:t>
            </w:r>
            <w:r w:rsidRPr="00646DA2">
              <w:t>nlit_500_urban</w:t>
            </w:r>
            <w:r>
              <w:t>’</w:t>
            </w:r>
          </w:p>
        </w:tc>
        <w:tc>
          <w:tcPr>
            <w:tcW w:w="4464" w:type="dxa"/>
            <w:shd w:val="clear" w:color="auto" w:fill="auto"/>
            <w:vAlign w:val="center"/>
          </w:tcPr>
          <w:p w14:paraId="22623F05" w14:textId="77777777" w:rsidR="00436D43" w:rsidRPr="00D57D0D" w:rsidRDefault="00436D43" w:rsidP="00853D7B">
            <w:pPr>
              <w:spacing w:line="276" w:lineRule="auto"/>
            </w:pPr>
            <w:r w:rsidRPr="00D57D0D">
              <w:t xml:space="preserve">Unlit area in square meters within 500 meters of transect centroid classified as urban on CEH 2017 landcover map. </w:t>
            </w:r>
          </w:p>
        </w:tc>
      </w:tr>
      <w:tr w:rsidR="00436D43" w:rsidRPr="007D08A3" w14:paraId="6E3C72FE" w14:textId="77777777" w:rsidTr="00853D7B">
        <w:trPr>
          <w:trHeight w:val="397"/>
        </w:trPr>
        <w:tc>
          <w:tcPr>
            <w:tcW w:w="4464" w:type="dxa"/>
            <w:shd w:val="clear" w:color="auto" w:fill="auto"/>
          </w:tcPr>
          <w:p w14:paraId="7959AE65" w14:textId="77777777" w:rsidR="00436D43" w:rsidRPr="007D08A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100m_radius</w:t>
            </w:r>
            <w:r>
              <w:rPr>
                <w:rFonts w:cs="Calibri"/>
                <w:color w:val="000000"/>
                <w:lang w:eastAsia="en-GB"/>
              </w:rPr>
              <w:t>’</w:t>
            </w:r>
          </w:p>
        </w:tc>
        <w:tc>
          <w:tcPr>
            <w:tcW w:w="4464" w:type="dxa"/>
            <w:shd w:val="clear" w:color="auto" w:fill="auto"/>
            <w:vAlign w:val="center"/>
          </w:tcPr>
          <w:p w14:paraId="00844AF6" w14:textId="77777777" w:rsidR="00436D43" w:rsidRPr="00D57D0D" w:rsidRDefault="00436D43" w:rsidP="00853D7B">
            <w:pPr>
              <w:spacing w:line="276" w:lineRule="auto"/>
            </w:pPr>
            <w:r w:rsidRPr="00D57D0D">
              <w:t xml:space="preserve">Total area in square meters within 100-meter radius of transect centroid. </w:t>
            </w:r>
          </w:p>
        </w:tc>
      </w:tr>
      <w:tr w:rsidR="00436D43" w:rsidRPr="007D08A3" w14:paraId="076F8650" w14:textId="77777777" w:rsidTr="00853D7B">
        <w:trPr>
          <w:trHeight w:val="397"/>
        </w:trPr>
        <w:tc>
          <w:tcPr>
            <w:tcW w:w="4464" w:type="dxa"/>
            <w:shd w:val="clear" w:color="auto" w:fill="auto"/>
          </w:tcPr>
          <w:p w14:paraId="201459E3"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250m_radius</w:t>
            </w:r>
            <w:r>
              <w:rPr>
                <w:rFonts w:cs="Calibri"/>
                <w:color w:val="000000"/>
                <w:lang w:eastAsia="en-GB"/>
              </w:rPr>
              <w:t>’</w:t>
            </w:r>
          </w:p>
        </w:tc>
        <w:tc>
          <w:tcPr>
            <w:tcW w:w="4464" w:type="dxa"/>
            <w:shd w:val="clear" w:color="auto" w:fill="auto"/>
            <w:vAlign w:val="center"/>
          </w:tcPr>
          <w:p w14:paraId="47C90FCA" w14:textId="77777777" w:rsidR="00436D43" w:rsidRPr="00D57D0D" w:rsidRDefault="00436D43" w:rsidP="00853D7B">
            <w:pPr>
              <w:spacing w:line="276" w:lineRule="auto"/>
            </w:pPr>
            <w:r w:rsidRPr="00D57D0D">
              <w:t xml:space="preserve">Total area in square meters within 250-meter radius of transect centroid. </w:t>
            </w:r>
          </w:p>
        </w:tc>
      </w:tr>
      <w:tr w:rsidR="00436D43" w:rsidRPr="007D08A3" w14:paraId="4A2CCE79" w14:textId="77777777" w:rsidTr="00853D7B">
        <w:trPr>
          <w:trHeight w:val="397"/>
        </w:trPr>
        <w:tc>
          <w:tcPr>
            <w:tcW w:w="4464" w:type="dxa"/>
            <w:shd w:val="clear" w:color="auto" w:fill="auto"/>
          </w:tcPr>
          <w:p w14:paraId="5C805AF1"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500m_radius</w:t>
            </w:r>
            <w:r>
              <w:rPr>
                <w:rFonts w:cs="Calibri"/>
                <w:color w:val="000000"/>
                <w:lang w:eastAsia="en-GB"/>
              </w:rPr>
              <w:t>’</w:t>
            </w:r>
          </w:p>
        </w:tc>
        <w:tc>
          <w:tcPr>
            <w:tcW w:w="4464" w:type="dxa"/>
            <w:shd w:val="clear" w:color="auto" w:fill="auto"/>
            <w:vAlign w:val="center"/>
          </w:tcPr>
          <w:p w14:paraId="432DAC03" w14:textId="77777777" w:rsidR="00436D43" w:rsidRPr="00D57D0D" w:rsidRDefault="00436D43" w:rsidP="00853D7B">
            <w:pPr>
              <w:spacing w:line="276" w:lineRule="auto"/>
            </w:pPr>
            <w:r w:rsidRPr="00D57D0D">
              <w:t xml:space="preserve">Total area in square meters within 500-meter radius of transect centroid. </w:t>
            </w:r>
          </w:p>
        </w:tc>
      </w:tr>
      <w:tr w:rsidR="00436D43" w:rsidRPr="007D08A3" w14:paraId="7E404740" w14:textId="77777777" w:rsidTr="00853D7B">
        <w:trPr>
          <w:trHeight w:val="397"/>
        </w:trPr>
        <w:tc>
          <w:tcPr>
            <w:tcW w:w="4464" w:type="dxa"/>
            <w:shd w:val="clear" w:color="auto" w:fill="auto"/>
          </w:tcPr>
          <w:p w14:paraId="33F9DA90"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Lit100s/urban</w:t>
            </w:r>
            <w:r>
              <w:rPr>
                <w:rFonts w:cs="Calibri"/>
                <w:color w:val="000000"/>
                <w:lang w:eastAsia="en-GB"/>
              </w:rPr>
              <w:t>’</w:t>
            </w:r>
          </w:p>
        </w:tc>
        <w:tc>
          <w:tcPr>
            <w:tcW w:w="4464" w:type="dxa"/>
            <w:shd w:val="clear" w:color="auto" w:fill="auto"/>
            <w:vAlign w:val="center"/>
          </w:tcPr>
          <w:p w14:paraId="1342A1A7" w14:textId="77777777" w:rsidR="00436D43" w:rsidRPr="00D57D0D" w:rsidRDefault="00436D43" w:rsidP="00853D7B">
            <w:pPr>
              <w:spacing w:line="276" w:lineRule="auto"/>
            </w:pPr>
            <w:r w:rsidRPr="00D57D0D">
              <w:t>Proportion of lit area with 100-meter radius of transect centroid which is classified as urban</w:t>
            </w:r>
          </w:p>
        </w:tc>
      </w:tr>
      <w:tr w:rsidR="00436D43" w:rsidRPr="007D08A3" w14:paraId="6D1C72CA" w14:textId="77777777" w:rsidTr="00853D7B">
        <w:trPr>
          <w:trHeight w:val="397"/>
        </w:trPr>
        <w:tc>
          <w:tcPr>
            <w:tcW w:w="4464" w:type="dxa"/>
            <w:shd w:val="clear" w:color="auto" w:fill="auto"/>
          </w:tcPr>
          <w:p w14:paraId="02FA5C50"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Lit250s/urban</w:t>
            </w:r>
            <w:r>
              <w:rPr>
                <w:rFonts w:cs="Calibri"/>
                <w:color w:val="000000"/>
                <w:lang w:eastAsia="en-GB"/>
              </w:rPr>
              <w:t>’</w:t>
            </w:r>
          </w:p>
        </w:tc>
        <w:tc>
          <w:tcPr>
            <w:tcW w:w="4464" w:type="dxa"/>
            <w:shd w:val="clear" w:color="auto" w:fill="auto"/>
            <w:vAlign w:val="center"/>
          </w:tcPr>
          <w:p w14:paraId="59B4187E" w14:textId="77777777" w:rsidR="00436D43" w:rsidRPr="00D57D0D" w:rsidRDefault="00436D43" w:rsidP="00853D7B">
            <w:pPr>
              <w:spacing w:line="276" w:lineRule="auto"/>
            </w:pPr>
            <w:r w:rsidRPr="00D57D0D">
              <w:t>Proportion of lit area with 250-meter radius of transect centroid which is classified as urban</w:t>
            </w:r>
          </w:p>
        </w:tc>
      </w:tr>
      <w:tr w:rsidR="00436D43" w:rsidRPr="007D08A3" w14:paraId="72A46FAF" w14:textId="77777777" w:rsidTr="00853D7B">
        <w:trPr>
          <w:trHeight w:val="397"/>
        </w:trPr>
        <w:tc>
          <w:tcPr>
            <w:tcW w:w="4464" w:type="dxa"/>
            <w:shd w:val="clear" w:color="auto" w:fill="auto"/>
          </w:tcPr>
          <w:p w14:paraId="776C9821"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Lit500s/urban</w:t>
            </w:r>
            <w:r>
              <w:rPr>
                <w:rFonts w:cs="Calibri"/>
                <w:color w:val="000000"/>
                <w:lang w:eastAsia="en-GB"/>
              </w:rPr>
              <w:t>’</w:t>
            </w:r>
          </w:p>
        </w:tc>
        <w:tc>
          <w:tcPr>
            <w:tcW w:w="4464" w:type="dxa"/>
            <w:shd w:val="clear" w:color="auto" w:fill="auto"/>
            <w:vAlign w:val="center"/>
          </w:tcPr>
          <w:p w14:paraId="1C1527CC" w14:textId="77777777" w:rsidR="00436D43" w:rsidRPr="00D57D0D" w:rsidRDefault="00436D43" w:rsidP="00853D7B">
            <w:pPr>
              <w:spacing w:line="276" w:lineRule="auto"/>
            </w:pPr>
            <w:r w:rsidRPr="00D57D0D">
              <w:t>Proportion of lit area with 500-meter radius of transect centroid which is classified as urban</w:t>
            </w:r>
          </w:p>
        </w:tc>
      </w:tr>
      <w:tr w:rsidR="00436D43" w:rsidRPr="007D08A3" w14:paraId="376C9BD7" w14:textId="77777777" w:rsidTr="00853D7B">
        <w:trPr>
          <w:trHeight w:val="397"/>
        </w:trPr>
        <w:tc>
          <w:tcPr>
            <w:tcW w:w="4464" w:type="dxa"/>
            <w:shd w:val="clear" w:color="auto" w:fill="auto"/>
          </w:tcPr>
          <w:p w14:paraId="295D7DB8"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Unlit100s/urban</w:t>
            </w:r>
            <w:r>
              <w:rPr>
                <w:rFonts w:cs="Calibri"/>
                <w:color w:val="000000"/>
                <w:lang w:eastAsia="en-GB"/>
              </w:rPr>
              <w:t>’</w:t>
            </w:r>
          </w:p>
        </w:tc>
        <w:tc>
          <w:tcPr>
            <w:tcW w:w="4464" w:type="dxa"/>
            <w:shd w:val="clear" w:color="auto" w:fill="auto"/>
            <w:vAlign w:val="center"/>
          </w:tcPr>
          <w:p w14:paraId="02ACBA1D" w14:textId="77777777" w:rsidR="00436D43" w:rsidRPr="00D57D0D" w:rsidRDefault="00436D43" w:rsidP="00853D7B">
            <w:pPr>
              <w:spacing w:line="276" w:lineRule="auto"/>
            </w:pPr>
            <w:r w:rsidRPr="00D57D0D">
              <w:t>Proportion of unlit area with 100-meter radius of transect centroid which is classified as urban</w:t>
            </w:r>
          </w:p>
        </w:tc>
      </w:tr>
      <w:tr w:rsidR="00436D43" w:rsidRPr="007D08A3" w14:paraId="4B050C13" w14:textId="77777777" w:rsidTr="00853D7B">
        <w:trPr>
          <w:trHeight w:val="397"/>
        </w:trPr>
        <w:tc>
          <w:tcPr>
            <w:tcW w:w="4464" w:type="dxa"/>
            <w:shd w:val="clear" w:color="auto" w:fill="auto"/>
          </w:tcPr>
          <w:p w14:paraId="5CA34E83"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Unlit250s/urban</w:t>
            </w:r>
            <w:r>
              <w:rPr>
                <w:rFonts w:cs="Calibri"/>
                <w:color w:val="000000"/>
                <w:lang w:eastAsia="en-GB"/>
              </w:rPr>
              <w:t>’</w:t>
            </w:r>
          </w:p>
        </w:tc>
        <w:tc>
          <w:tcPr>
            <w:tcW w:w="4464" w:type="dxa"/>
            <w:shd w:val="clear" w:color="auto" w:fill="auto"/>
            <w:vAlign w:val="center"/>
          </w:tcPr>
          <w:p w14:paraId="0007EC68" w14:textId="77777777" w:rsidR="00436D43" w:rsidRPr="00D57D0D" w:rsidRDefault="00436D43" w:rsidP="00853D7B">
            <w:pPr>
              <w:spacing w:line="276" w:lineRule="auto"/>
            </w:pPr>
            <w:r w:rsidRPr="00D57D0D">
              <w:t>Proportion of unlit area with 250-meter radius of transect centroid which is classified as urban</w:t>
            </w:r>
          </w:p>
        </w:tc>
      </w:tr>
      <w:tr w:rsidR="00436D43" w:rsidRPr="007D08A3" w14:paraId="54F390CD" w14:textId="77777777" w:rsidTr="00853D7B">
        <w:trPr>
          <w:trHeight w:val="397"/>
        </w:trPr>
        <w:tc>
          <w:tcPr>
            <w:tcW w:w="4464" w:type="dxa"/>
            <w:shd w:val="clear" w:color="auto" w:fill="auto"/>
          </w:tcPr>
          <w:p w14:paraId="1BAD1AE2" w14:textId="77777777" w:rsidR="00436D43" w:rsidRDefault="00436D43" w:rsidP="00853D7B">
            <w:pPr>
              <w:spacing w:after="0" w:line="276" w:lineRule="auto"/>
              <w:rPr>
                <w:rFonts w:cs="Calibri"/>
                <w:color w:val="000000"/>
                <w:lang w:eastAsia="en-GB"/>
              </w:rPr>
            </w:pPr>
            <w:r>
              <w:rPr>
                <w:rFonts w:cs="Calibri"/>
                <w:color w:val="000000"/>
                <w:lang w:eastAsia="en-GB"/>
              </w:rPr>
              <w:t>‘</w:t>
            </w:r>
            <w:r w:rsidRPr="00646DA2">
              <w:rPr>
                <w:rFonts w:cs="Calibri"/>
                <w:color w:val="000000"/>
                <w:lang w:eastAsia="en-GB"/>
              </w:rPr>
              <w:t>Unlit500s/urban</w:t>
            </w:r>
            <w:r>
              <w:rPr>
                <w:rFonts w:cs="Calibri"/>
                <w:color w:val="000000"/>
                <w:lang w:eastAsia="en-GB"/>
              </w:rPr>
              <w:t>’</w:t>
            </w:r>
          </w:p>
        </w:tc>
        <w:tc>
          <w:tcPr>
            <w:tcW w:w="4464" w:type="dxa"/>
            <w:shd w:val="clear" w:color="auto" w:fill="auto"/>
            <w:vAlign w:val="center"/>
          </w:tcPr>
          <w:p w14:paraId="5AED1961" w14:textId="77777777" w:rsidR="00436D43" w:rsidRPr="00D57D0D" w:rsidRDefault="00436D43" w:rsidP="00853D7B">
            <w:pPr>
              <w:spacing w:line="276" w:lineRule="auto"/>
            </w:pPr>
            <w:r w:rsidRPr="00D57D0D">
              <w:t>Proportion of unlit area with 500-meter radius of transect centroid which is classified as urban</w:t>
            </w:r>
          </w:p>
        </w:tc>
      </w:tr>
    </w:tbl>
    <w:p w14:paraId="1F06FE43" w14:textId="77777777" w:rsidR="00436D43" w:rsidRPr="00ED74A1" w:rsidRDefault="00436D43" w:rsidP="00436D43">
      <w:pPr>
        <w:spacing w:line="480" w:lineRule="auto"/>
        <w:rPr>
          <w:b/>
          <w:bCs/>
        </w:rPr>
      </w:pPr>
    </w:p>
    <w:p w14:paraId="60B80D45" w14:textId="6A55187E" w:rsidR="00EA0B5D" w:rsidRPr="00ED74A1" w:rsidRDefault="00EA0B5D" w:rsidP="00436D43">
      <w:pPr>
        <w:spacing w:line="480" w:lineRule="auto"/>
        <w:rPr>
          <w:b/>
          <w:bCs/>
        </w:rPr>
      </w:pPr>
    </w:p>
    <w:p w14:paraId="5374B0F1" w14:textId="77777777" w:rsidR="000F791D" w:rsidRPr="00E40681" w:rsidRDefault="000F791D" w:rsidP="0090496E">
      <w:pPr>
        <w:spacing w:line="480" w:lineRule="auto"/>
        <w:rPr>
          <w:i/>
          <w:iCs/>
        </w:rPr>
      </w:pPr>
    </w:p>
    <w:p w14:paraId="2BB7B053" w14:textId="5F18A267" w:rsidR="0076751A" w:rsidRPr="005274FA" w:rsidRDefault="00573EE7" w:rsidP="0076751A">
      <w:pPr>
        <w:spacing w:line="480" w:lineRule="auto"/>
        <w:rPr>
          <w:b/>
          <w:bCs/>
        </w:rPr>
      </w:pPr>
      <w:r>
        <w:rPr>
          <w:b/>
          <w:bCs/>
        </w:rPr>
        <w:br w:type="page"/>
      </w:r>
      <w:r w:rsidR="007542D0" w:rsidRPr="005274FA">
        <w:rPr>
          <w:b/>
          <w:bCs/>
        </w:rPr>
        <w:lastRenderedPageBreak/>
        <w:t>References</w:t>
      </w:r>
      <w:r w:rsidR="005D7C9E" w:rsidRPr="005274FA">
        <w:rPr>
          <w:b/>
          <w:bCs/>
        </w:rPr>
        <w:t>:</w:t>
      </w:r>
    </w:p>
    <w:p w14:paraId="2E0FAC5E" w14:textId="202DCA45" w:rsidR="005C4344" w:rsidRPr="005C4344" w:rsidRDefault="005D7C9E" w:rsidP="005C4344">
      <w:pPr>
        <w:widowControl w:val="0"/>
        <w:autoSpaceDE w:val="0"/>
        <w:autoSpaceDN w:val="0"/>
        <w:adjustRightInd w:val="0"/>
        <w:spacing w:line="480" w:lineRule="auto"/>
        <w:ind w:left="480" w:hanging="480"/>
        <w:rPr>
          <w:rFonts w:cs="Calibri"/>
          <w:noProof/>
          <w:szCs w:val="24"/>
        </w:rPr>
      </w:pPr>
      <w:r w:rsidRPr="005274FA">
        <w:rPr>
          <w:rFonts w:cs="Calibri"/>
          <w:noProof/>
        </w:rPr>
        <w:fldChar w:fldCharType="begin" w:fldLock="1"/>
      </w:r>
      <w:r w:rsidRPr="005274FA">
        <w:rPr>
          <w:rFonts w:cs="Calibri"/>
          <w:noProof/>
        </w:rPr>
        <w:instrText xml:space="preserve">ADDIN Mendeley Bibliography CSL_BIBLIOGRAPHY </w:instrText>
      </w:r>
      <w:r w:rsidRPr="005274FA">
        <w:rPr>
          <w:rFonts w:cs="Calibri"/>
          <w:noProof/>
        </w:rPr>
        <w:fldChar w:fldCharType="separate"/>
      </w:r>
      <w:r w:rsidR="005C4344" w:rsidRPr="005C4344">
        <w:rPr>
          <w:rFonts w:cs="Calibri"/>
          <w:noProof/>
          <w:szCs w:val="24"/>
        </w:rPr>
        <w:t xml:space="preserve">Boyes, D.H., Evans, D.M., Fox, R., Parsons, M.S., &amp; Pocock, M.J.O. (2021) Is light pollution driving moth population declines? A review of causal mechanisms across the life cycle. </w:t>
      </w:r>
      <w:r w:rsidR="005C4344" w:rsidRPr="005C4344">
        <w:rPr>
          <w:rFonts w:cs="Calibri"/>
          <w:i/>
          <w:iCs/>
          <w:noProof/>
          <w:szCs w:val="24"/>
        </w:rPr>
        <w:t>Insect Conservation and Diversity</w:t>
      </w:r>
      <w:r w:rsidR="005C4344" w:rsidRPr="005C4344">
        <w:rPr>
          <w:rFonts w:cs="Calibri"/>
          <w:noProof/>
          <w:szCs w:val="24"/>
        </w:rPr>
        <w:t xml:space="preserve">, 167–187. </w:t>
      </w:r>
    </w:p>
    <w:p w14:paraId="2A546971" w14:textId="77777777" w:rsidR="005C4344" w:rsidRPr="005C4344" w:rsidRDefault="005C4344" w:rsidP="005C4344">
      <w:pPr>
        <w:widowControl w:val="0"/>
        <w:autoSpaceDE w:val="0"/>
        <w:autoSpaceDN w:val="0"/>
        <w:adjustRightInd w:val="0"/>
        <w:spacing w:line="480" w:lineRule="auto"/>
        <w:ind w:left="480" w:hanging="480"/>
        <w:rPr>
          <w:rFonts w:cs="Calibri"/>
          <w:noProof/>
          <w:szCs w:val="24"/>
        </w:rPr>
      </w:pPr>
      <w:r w:rsidRPr="005C4344">
        <w:rPr>
          <w:rFonts w:cs="Calibri"/>
          <w:noProof/>
          <w:szCs w:val="24"/>
        </w:rPr>
        <w:t xml:space="preserve">Longcore, T. &amp; Rich, C. (2004) Ecological light pollution. </w:t>
      </w:r>
      <w:r w:rsidRPr="005C4344">
        <w:rPr>
          <w:rFonts w:cs="Calibri"/>
          <w:i/>
          <w:iCs/>
          <w:noProof/>
          <w:szCs w:val="24"/>
        </w:rPr>
        <w:t>Frontiers in Ecology and the Environment</w:t>
      </w:r>
      <w:r w:rsidRPr="005C4344">
        <w:rPr>
          <w:rFonts w:cs="Calibri"/>
          <w:noProof/>
          <w:szCs w:val="24"/>
        </w:rPr>
        <w:t xml:space="preserve">, </w:t>
      </w:r>
      <w:r w:rsidRPr="005C4344">
        <w:rPr>
          <w:rFonts w:cs="Calibri"/>
          <w:b/>
          <w:bCs/>
          <w:noProof/>
          <w:szCs w:val="24"/>
        </w:rPr>
        <w:t>2</w:t>
      </w:r>
      <w:r w:rsidRPr="005C4344">
        <w:rPr>
          <w:rFonts w:cs="Calibri"/>
          <w:noProof/>
          <w:szCs w:val="24"/>
        </w:rPr>
        <w:t xml:space="preserve">, 191–198. </w:t>
      </w:r>
    </w:p>
    <w:p w14:paraId="035DDEFC" w14:textId="77777777" w:rsidR="005C4344" w:rsidRPr="005C4344" w:rsidRDefault="005C4344" w:rsidP="005C4344">
      <w:pPr>
        <w:widowControl w:val="0"/>
        <w:autoSpaceDE w:val="0"/>
        <w:autoSpaceDN w:val="0"/>
        <w:adjustRightInd w:val="0"/>
        <w:spacing w:line="480" w:lineRule="auto"/>
        <w:ind w:left="480" w:hanging="480"/>
        <w:rPr>
          <w:rFonts w:cs="Calibri"/>
          <w:noProof/>
          <w:szCs w:val="24"/>
        </w:rPr>
      </w:pPr>
      <w:r w:rsidRPr="005C4344">
        <w:rPr>
          <w:rFonts w:cs="Calibri"/>
          <w:noProof/>
          <w:szCs w:val="24"/>
        </w:rPr>
        <w:t xml:space="preserve">Maudsley, M., Seeley, B., &amp; Lewis, O. (2002) Spatial distribution patterns of predatory arthropods within an English hedgerow in early winter in relation to habitat variables. </w:t>
      </w:r>
      <w:r w:rsidRPr="005C4344">
        <w:rPr>
          <w:rFonts w:cs="Calibri"/>
          <w:i/>
          <w:iCs/>
          <w:noProof/>
          <w:szCs w:val="24"/>
        </w:rPr>
        <w:t>Agriculture, Ecosystems &amp; Environment</w:t>
      </w:r>
      <w:r w:rsidRPr="005C4344">
        <w:rPr>
          <w:rFonts w:cs="Calibri"/>
          <w:noProof/>
          <w:szCs w:val="24"/>
        </w:rPr>
        <w:t xml:space="preserve">, </w:t>
      </w:r>
      <w:r w:rsidRPr="005C4344">
        <w:rPr>
          <w:rFonts w:cs="Calibri"/>
          <w:b/>
          <w:bCs/>
          <w:noProof/>
          <w:szCs w:val="24"/>
        </w:rPr>
        <w:t>89</w:t>
      </w:r>
      <w:r w:rsidRPr="005C4344">
        <w:rPr>
          <w:rFonts w:cs="Calibri"/>
          <w:noProof/>
          <w:szCs w:val="24"/>
        </w:rPr>
        <w:t xml:space="preserve">, 77–89. </w:t>
      </w:r>
    </w:p>
    <w:p w14:paraId="43400F3C" w14:textId="77777777" w:rsidR="005C4344" w:rsidRPr="005C4344" w:rsidRDefault="005C4344" w:rsidP="005C4344">
      <w:pPr>
        <w:widowControl w:val="0"/>
        <w:autoSpaceDE w:val="0"/>
        <w:autoSpaceDN w:val="0"/>
        <w:adjustRightInd w:val="0"/>
        <w:spacing w:line="480" w:lineRule="auto"/>
        <w:ind w:left="480" w:hanging="480"/>
        <w:rPr>
          <w:rFonts w:cs="Calibri"/>
          <w:noProof/>
          <w:szCs w:val="24"/>
        </w:rPr>
      </w:pPr>
      <w:r w:rsidRPr="005C4344">
        <w:rPr>
          <w:rFonts w:cs="Calibri"/>
          <w:noProof/>
          <w:szCs w:val="24"/>
        </w:rPr>
        <w:t xml:space="preserve">Merckx, T. &amp; Van Dyck, H. (2019) Urbanization-driven homogenization is more pronounced and happens at wider spatial scales in nocturnal and mobile flying insects. </w:t>
      </w:r>
      <w:r w:rsidRPr="005C4344">
        <w:rPr>
          <w:rFonts w:cs="Calibri"/>
          <w:i/>
          <w:iCs/>
          <w:noProof/>
          <w:szCs w:val="24"/>
        </w:rPr>
        <w:t>Global Ecology and Biogeography</w:t>
      </w:r>
      <w:r w:rsidRPr="005C4344">
        <w:rPr>
          <w:rFonts w:cs="Calibri"/>
          <w:noProof/>
          <w:szCs w:val="24"/>
        </w:rPr>
        <w:t xml:space="preserve">, </w:t>
      </w:r>
      <w:r w:rsidRPr="005C4344">
        <w:rPr>
          <w:rFonts w:cs="Calibri"/>
          <w:b/>
          <w:bCs/>
          <w:noProof/>
          <w:szCs w:val="24"/>
        </w:rPr>
        <w:t>28</w:t>
      </w:r>
      <w:r w:rsidRPr="005C4344">
        <w:rPr>
          <w:rFonts w:cs="Calibri"/>
          <w:noProof/>
          <w:szCs w:val="24"/>
        </w:rPr>
        <w:t xml:space="preserve">, 1440–1455. </w:t>
      </w:r>
    </w:p>
    <w:p w14:paraId="0B9558A7" w14:textId="77777777" w:rsidR="005C4344" w:rsidRPr="005C4344" w:rsidRDefault="005C4344" w:rsidP="005C4344">
      <w:pPr>
        <w:widowControl w:val="0"/>
        <w:autoSpaceDE w:val="0"/>
        <w:autoSpaceDN w:val="0"/>
        <w:adjustRightInd w:val="0"/>
        <w:spacing w:line="480" w:lineRule="auto"/>
        <w:ind w:left="480" w:hanging="480"/>
        <w:rPr>
          <w:rFonts w:cs="Calibri"/>
          <w:noProof/>
          <w:szCs w:val="24"/>
        </w:rPr>
      </w:pPr>
      <w:r w:rsidRPr="005C4344">
        <w:rPr>
          <w:rFonts w:cs="Calibri"/>
          <w:noProof/>
          <w:szCs w:val="24"/>
        </w:rPr>
        <w:t xml:space="preserve">Porter, J. (2010) </w:t>
      </w:r>
      <w:r w:rsidRPr="005C4344">
        <w:rPr>
          <w:rFonts w:cs="Calibri"/>
          <w:i/>
          <w:iCs/>
          <w:noProof/>
          <w:szCs w:val="24"/>
        </w:rPr>
        <w:t xml:space="preserve">Colour Identification Guide to Caterpillars of the British Isles:(Macrolepidoptera.). </w:t>
      </w:r>
      <w:r w:rsidRPr="005C4344">
        <w:rPr>
          <w:rFonts w:cs="Calibri"/>
          <w:noProof/>
          <w:szCs w:val="24"/>
        </w:rPr>
        <w:t xml:space="preserve">Apollo Books, Stenstrup, Denmark. </w:t>
      </w:r>
    </w:p>
    <w:p w14:paraId="7B76A8B3" w14:textId="77777777" w:rsidR="005C4344" w:rsidRPr="005C4344" w:rsidRDefault="005C4344" w:rsidP="005C4344">
      <w:pPr>
        <w:widowControl w:val="0"/>
        <w:autoSpaceDE w:val="0"/>
        <w:autoSpaceDN w:val="0"/>
        <w:adjustRightInd w:val="0"/>
        <w:spacing w:line="480" w:lineRule="auto"/>
        <w:ind w:left="480" w:hanging="480"/>
        <w:rPr>
          <w:rFonts w:cs="Calibri"/>
          <w:noProof/>
        </w:rPr>
      </w:pPr>
      <w:r w:rsidRPr="005C4344">
        <w:rPr>
          <w:rFonts w:cs="Calibri"/>
          <w:noProof/>
          <w:szCs w:val="24"/>
        </w:rPr>
        <w:t xml:space="preserve">Staley, J.T., Botham, M.S., Chapman, R.E., Amy, S.R., Heard, M.S., Hulmes, L., Savage, J., &amp; Pywell, R.F. (2016) Little and late: How reduced hedgerow cutting can benefit Lepidoptera. </w:t>
      </w:r>
      <w:r w:rsidRPr="005C4344">
        <w:rPr>
          <w:rFonts w:cs="Calibri"/>
          <w:i/>
          <w:iCs/>
          <w:noProof/>
          <w:szCs w:val="24"/>
        </w:rPr>
        <w:t>Agriculture, Ecosystems &amp; Environment</w:t>
      </w:r>
      <w:r w:rsidRPr="005C4344">
        <w:rPr>
          <w:rFonts w:cs="Calibri"/>
          <w:noProof/>
          <w:szCs w:val="24"/>
        </w:rPr>
        <w:t xml:space="preserve">, </w:t>
      </w:r>
      <w:r w:rsidRPr="005C4344">
        <w:rPr>
          <w:rFonts w:cs="Calibri"/>
          <w:b/>
          <w:bCs/>
          <w:noProof/>
          <w:szCs w:val="24"/>
        </w:rPr>
        <w:t>224</w:t>
      </w:r>
      <w:r w:rsidRPr="005C4344">
        <w:rPr>
          <w:rFonts w:cs="Calibri"/>
          <w:noProof/>
          <w:szCs w:val="24"/>
        </w:rPr>
        <w:t xml:space="preserve">, 22–28. </w:t>
      </w:r>
    </w:p>
    <w:p w14:paraId="308C3A90" w14:textId="79331195" w:rsidR="003C0AAC" w:rsidRPr="005274FA" w:rsidRDefault="005D7C9E" w:rsidP="005D7C9E">
      <w:pPr>
        <w:widowControl w:val="0"/>
        <w:autoSpaceDE w:val="0"/>
        <w:autoSpaceDN w:val="0"/>
        <w:adjustRightInd w:val="0"/>
        <w:spacing w:line="480" w:lineRule="auto"/>
        <w:ind w:left="640" w:hanging="640"/>
        <w:rPr>
          <w:rFonts w:cs="Calibri"/>
          <w:noProof/>
        </w:rPr>
      </w:pPr>
      <w:r w:rsidRPr="005274FA">
        <w:rPr>
          <w:rFonts w:cs="Calibri"/>
          <w:noProof/>
        </w:rPr>
        <w:fldChar w:fldCharType="end"/>
      </w:r>
      <w:bookmarkEnd w:id="0"/>
    </w:p>
    <w:sectPr w:rsidR="003C0AAC" w:rsidRPr="005274FA" w:rsidSect="00373CC1">
      <w:headerReference w:type="default" r:id="rId10"/>
      <w:pgSz w:w="11906" w:h="16838"/>
      <w:pgMar w:top="1440"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D7AD5" w14:textId="77777777" w:rsidR="007305A7" w:rsidRDefault="007305A7" w:rsidP="006E29DE">
      <w:pPr>
        <w:spacing w:after="0" w:line="240" w:lineRule="auto"/>
      </w:pPr>
      <w:r>
        <w:separator/>
      </w:r>
    </w:p>
  </w:endnote>
  <w:endnote w:type="continuationSeparator" w:id="0">
    <w:p w14:paraId="05C80841" w14:textId="77777777" w:rsidR="007305A7" w:rsidRDefault="007305A7" w:rsidP="006E2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DD06A" w14:textId="77777777" w:rsidR="007305A7" w:rsidRDefault="007305A7" w:rsidP="006E29DE">
      <w:pPr>
        <w:spacing w:after="0" w:line="240" w:lineRule="auto"/>
      </w:pPr>
      <w:r>
        <w:separator/>
      </w:r>
    </w:p>
  </w:footnote>
  <w:footnote w:type="continuationSeparator" w:id="0">
    <w:p w14:paraId="459BB25C" w14:textId="77777777" w:rsidR="007305A7" w:rsidRDefault="007305A7" w:rsidP="006E2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F123D" w14:textId="1D419929" w:rsidR="00765E73" w:rsidRPr="006E29DE" w:rsidRDefault="00765E73" w:rsidP="006E29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E3371"/>
    <w:multiLevelType w:val="hybridMultilevel"/>
    <w:tmpl w:val="4E1C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1D77A2"/>
    <w:multiLevelType w:val="hybridMultilevel"/>
    <w:tmpl w:val="A3464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6F7BCB"/>
    <w:multiLevelType w:val="hybridMultilevel"/>
    <w:tmpl w:val="F8EE7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2F593C"/>
    <w:multiLevelType w:val="hybridMultilevel"/>
    <w:tmpl w:val="51C6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FF2"/>
    <w:rsid w:val="00000585"/>
    <w:rsid w:val="00000672"/>
    <w:rsid w:val="0000180E"/>
    <w:rsid w:val="000018E1"/>
    <w:rsid w:val="000020A3"/>
    <w:rsid w:val="000021B6"/>
    <w:rsid w:val="000047F5"/>
    <w:rsid w:val="00004AA3"/>
    <w:rsid w:val="00005BA2"/>
    <w:rsid w:val="0000600D"/>
    <w:rsid w:val="00007978"/>
    <w:rsid w:val="00007F16"/>
    <w:rsid w:val="000102CD"/>
    <w:rsid w:val="00011124"/>
    <w:rsid w:val="00011FA1"/>
    <w:rsid w:val="00012674"/>
    <w:rsid w:val="00012C05"/>
    <w:rsid w:val="00012C57"/>
    <w:rsid w:val="000139A1"/>
    <w:rsid w:val="000139B5"/>
    <w:rsid w:val="0001521C"/>
    <w:rsid w:val="00016E37"/>
    <w:rsid w:val="000172B2"/>
    <w:rsid w:val="00020F7D"/>
    <w:rsid w:val="0002114B"/>
    <w:rsid w:val="00021C78"/>
    <w:rsid w:val="00022515"/>
    <w:rsid w:val="00022DE1"/>
    <w:rsid w:val="00022EF2"/>
    <w:rsid w:val="0002513F"/>
    <w:rsid w:val="0002573F"/>
    <w:rsid w:val="000258B8"/>
    <w:rsid w:val="00025C09"/>
    <w:rsid w:val="000268D9"/>
    <w:rsid w:val="0002788A"/>
    <w:rsid w:val="00027D04"/>
    <w:rsid w:val="00027DBE"/>
    <w:rsid w:val="00027FC6"/>
    <w:rsid w:val="000308E2"/>
    <w:rsid w:val="00030C34"/>
    <w:rsid w:val="00031C45"/>
    <w:rsid w:val="000325BD"/>
    <w:rsid w:val="00033E5F"/>
    <w:rsid w:val="0003404F"/>
    <w:rsid w:val="00035501"/>
    <w:rsid w:val="00035571"/>
    <w:rsid w:val="00035981"/>
    <w:rsid w:val="00037EE6"/>
    <w:rsid w:val="00040D24"/>
    <w:rsid w:val="00042B65"/>
    <w:rsid w:val="00042F46"/>
    <w:rsid w:val="00044011"/>
    <w:rsid w:val="0004686D"/>
    <w:rsid w:val="00047262"/>
    <w:rsid w:val="000477AF"/>
    <w:rsid w:val="00050A63"/>
    <w:rsid w:val="000527FD"/>
    <w:rsid w:val="00052E36"/>
    <w:rsid w:val="00052F14"/>
    <w:rsid w:val="00053158"/>
    <w:rsid w:val="0005473B"/>
    <w:rsid w:val="00054A1F"/>
    <w:rsid w:val="0005516A"/>
    <w:rsid w:val="00056073"/>
    <w:rsid w:val="00056986"/>
    <w:rsid w:val="00056D8E"/>
    <w:rsid w:val="00057343"/>
    <w:rsid w:val="000577D0"/>
    <w:rsid w:val="000605F4"/>
    <w:rsid w:val="00061557"/>
    <w:rsid w:val="00063696"/>
    <w:rsid w:val="000636C0"/>
    <w:rsid w:val="00063F64"/>
    <w:rsid w:val="00066082"/>
    <w:rsid w:val="00067403"/>
    <w:rsid w:val="00070DB8"/>
    <w:rsid w:val="00071135"/>
    <w:rsid w:val="00071172"/>
    <w:rsid w:val="000711BF"/>
    <w:rsid w:val="00071BE0"/>
    <w:rsid w:val="000720D9"/>
    <w:rsid w:val="00072BAE"/>
    <w:rsid w:val="000730CD"/>
    <w:rsid w:val="00075A77"/>
    <w:rsid w:val="00076179"/>
    <w:rsid w:val="000769AD"/>
    <w:rsid w:val="00076B7B"/>
    <w:rsid w:val="00076CFD"/>
    <w:rsid w:val="00077490"/>
    <w:rsid w:val="00077617"/>
    <w:rsid w:val="00080AF5"/>
    <w:rsid w:val="00081218"/>
    <w:rsid w:val="000826DB"/>
    <w:rsid w:val="00083826"/>
    <w:rsid w:val="00085221"/>
    <w:rsid w:val="000859B7"/>
    <w:rsid w:val="000862DF"/>
    <w:rsid w:val="00086C59"/>
    <w:rsid w:val="00086CD8"/>
    <w:rsid w:val="0008755D"/>
    <w:rsid w:val="00087B99"/>
    <w:rsid w:val="00091967"/>
    <w:rsid w:val="00091EEC"/>
    <w:rsid w:val="00092110"/>
    <w:rsid w:val="00092BDF"/>
    <w:rsid w:val="0009305F"/>
    <w:rsid w:val="00093B1D"/>
    <w:rsid w:val="00095134"/>
    <w:rsid w:val="00095D28"/>
    <w:rsid w:val="00096C92"/>
    <w:rsid w:val="000973AA"/>
    <w:rsid w:val="0009784D"/>
    <w:rsid w:val="000A188F"/>
    <w:rsid w:val="000A1FD8"/>
    <w:rsid w:val="000A2491"/>
    <w:rsid w:val="000A2ABA"/>
    <w:rsid w:val="000A2C72"/>
    <w:rsid w:val="000A2D31"/>
    <w:rsid w:val="000A33CA"/>
    <w:rsid w:val="000A3F1C"/>
    <w:rsid w:val="000A408F"/>
    <w:rsid w:val="000A4231"/>
    <w:rsid w:val="000A4849"/>
    <w:rsid w:val="000A6188"/>
    <w:rsid w:val="000A6304"/>
    <w:rsid w:val="000A6FFB"/>
    <w:rsid w:val="000A70F4"/>
    <w:rsid w:val="000A72B5"/>
    <w:rsid w:val="000A73D7"/>
    <w:rsid w:val="000A78D4"/>
    <w:rsid w:val="000B08F9"/>
    <w:rsid w:val="000B1EC3"/>
    <w:rsid w:val="000B20CD"/>
    <w:rsid w:val="000B3ECA"/>
    <w:rsid w:val="000B5067"/>
    <w:rsid w:val="000B6CA4"/>
    <w:rsid w:val="000B73EA"/>
    <w:rsid w:val="000C0D9D"/>
    <w:rsid w:val="000C0E4E"/>
    <w:rsid w:val="000C11DC"/>
    <w:rsid w:val="000C47A1"/>
    <w:rsid w:val="000C576D"/>
    <w:rsid w:val="000C5E7E"/>
    <w:rsid w:val="000C6AE2"/>
    <w:rsid w:val="000C7501"/>
    <w:rsid w:val="000D062E"/>
    <w:rsid w:val="000D2171"/>
    <w:rsid w:val="000D36ED"/>
    <w:rsid w:val="000D4A06"/>
    <w:rsid w:val="000D5FF5"/>
    <w:rsid w:val="000D6169"/>
    <w:rsid w:val="000D7FD4"/>
    <w:rsid w:val="000E0245"/>
    <w:rsid w:val="000E0F23"/>
    <w:rsid w:val="000E2044"/>
    <w:rsid w:val="000E2B5B"/>
    <w:rsid w:val="000E40DF"/>
    <w:rsid w:val="000E516C"/>
    <w:rsid w:val="000E57EF"/>
    <w:rsid w:val="000E6E88"/>
    <w:rsid w:val="000E730E"/>
    <w:rsid w:val="000F0B12"/>
    <w:rsid w:val="000F17DA"/>
    <w:rsid w:val="000F23DA"/>
    <w:rsid w:val="000F24C0"/>
    <w:rsid w:val="000F2747"/>
    <w:rsid w:val="000F2AD1"/>
    <w:rsid w:val="000F3837"/>
    <w:rsid w:val="000F3E20"/>
    <w:rsid w:val="000F52E2"/>
    <w:rsid w:val="000F548C"/>
    <w:rsid w:val="000F5BF8"/>
    <w:rsid w:val="000F5EAF"/>
    <w:rsid w:val="000F6519"/>
    <w:rsid w:val="000F6B18"/>
    <w:rsid w:val="000F76D3"/>
    <w:rsid w:val="000F791D"/>
    <w:rsid w:val="0010023A"/>
    <w:rsid w:val="001015A7"/>
    <w:rsid w:val="00103946"/>
    <w:rsid w:val="00104978"/>
    <w:rsid w:val="00105678"/>
    <w:rsid w:val="001059CA"/>
    <w:rsid w:val="001065D1"/>
    <w:rsid w:val="001067A8"/>
    <w:rsid w:val="00106A5A"/>
    <w:rsid w:val="00107615"/>
    <w:rsid w:val="00110D85"/>
    <w:rsid w:val="0011183C"/>
    <w:rsid w:val="00113040"/>
    <w:rsid w:val="00113548"/>
    <w:rsid w:val="00113CB8"/>
    <w:rsid w:val="0011518F"/>
    <w:rsid w:val="001155AE"/>
    <w:rsid w:val="001170E2"/>
    <w:rsid w:val="00117D85"/>
    <w:rsid w:val="001209F0"/>
    <w:rsid w:val="00120E55"/>
    <w:rsid w:val="00123578"/>
    <w:rsid w:val="0012393B"/>
    <w:rsid w:val="00123BC7"/>
    <w:rsid w:val="00123F2E"/>
    <w:rsid w:val="00125A34"/>
    <w:rsid w:val="001260B9"/>
    <w:rsid w:val="00126ABC"/>
    <w:rsid w:val="0012768B"/>
    <w:rsid w:val="001309B6"/>
    <w:rsid w:val="001309D2"/>
    <w:rsid w:val="00131916"/>
    <w:rsid w:val="00133293"/>
    <w:rsid w:val="00133299"/>
    <w:rsid w:val="0013372C"/>
    <w:rsid w:val="0013414D"/>
    <w:rsid w:val="00135C9E"/>
    <w:rsid w:val="00135EFF"/>
    <w:rsid w:val="001364BB"/>
    <w:rsid w:val="001366A3"/>
    <w:rsid w:val="00141780"/>
    <w:rsid w:val="00141DB9"/>
    <w:rsid w:val="00142356"/>
    <w:rsid w:val="0014263B"/>
    <w:rsid w:val="00142D71"/>
    <w:rsid w:val="00143096"/>
    <w:rsid w:val="00143697"/>
    <w:rsid w:val="0014390E"/>
    <w:rsid w:val="00143AEB"/>
    <w:rsid w:val="00143C79"/>
    <w:rsid w:val="001450B9"/>
    <w:rsid w:val="00145109"/>
    <w:rsid w:val="0014676C"/>
    <w:rsid w:val="001469A5"/>
    <w:rsid w:val="00150B82"/>
    <w:rsid w:val="00151264"/>
    <w:rsid w:val="00152008"/>
    <w:rsid w:val="00152716"/>
    <w:rsid w:val="00153E85"/>
    <w:rsid w:val="00155C22"/>
    <w:rsid w:val="00161623"/>
    <w:rsid w:val="00161AFE"/>
    <w:rsid w:val="00161D8C"/>
    <w:rsid w:val="001626FA"/>
    <w:rsid w:val="001627C3"/>
    <w:rsid w:val="00162E63"/>
    <w:rsid w:val="0016362C"/>
    <w:rsid w:val="00165F21"/>
    <w:rsid w:val="00165F8D"/>
    <w:rsid w:val="00166058"/>
    <w:rsid w:val="0016705B"/>
    <w:rsid w:val="001676E6"/>
    <w:rsid w:val="00167E84"/>
    <w:rsid w:val="00170F77"/>
    <w:rsid w:val="001712B9"/>
    <w:rsid w:val="001721D5"/>
    <w:rsid w:val="0017315D"/>
    <w:rsid w:val="00174073"/>
    <w:rsid w:val="0017515A"/>
    <w:rsid w:val="0017540A"/>
    <w:rsid w:val="00175584"/>
    <w:rsid w:val="001758BF"/>
    <w:rsid w:val="001762B7"/>
    <w:rsid w:val="00177838"/>
    <w:rsid w:val="001803A9"/>
    <w:rsid w:val="001805DE"/>
    <w:rsid w:val="00180E2F"/>
    <w:rsid w:val="001831E4"/>
    <w:rsid w:val="00186213"/>
    <w:rsid w:val="00186389"/>
    <w:rsid w:val="0018774C"/>
    <w:rsid w:val="00187751"/>
    <w:rsid w:val="001879FB"/>
    <w:rsid w:val="00187BE4"/>
    <w:rsid w:val="00187E7A"/>
    <w:rsid w:val="00187F0A"/>
    <w:rsid w:val="00191244"/>
    <w:rsid w:val="00191FE0"/>
    <w:rsid w:val="0019201A"/>
    <w:rsid w:val="001927C7"/>
    <w:rsid w:val="00192BC3"/>
    <w:rsid w:val="001951D0"/>
    <w:rsid w:val="00195687"/>
    <w:rsid w:val="00196074"/>
    <w:rsid w:val="00197451"/>
    <w:rsid w:val="00197734"/>
    <w:rsid w:val="00197B97"/>
    <w:rsid w:val="001A0440"/>
    <w:rsid w:val="001A0DEC"/>
    <w:rsid w:val="001A17A3"/>
    <w:rsid w:val="001A17A9"/>
    <w:rsid w:val="001A18B8"/>
    <w:rsid w:val="001A22FA"/>
    <w:rsid w:val="001A4D8C"/>
    <w:rsid w:val="001B0936"/>
    <w:rsid w:val="001B22BB"/>
    <w:rsid w:val="001B3305"/>
    <w:rsid w:val="001B3AB3"/>
    <w:rsid w:val="001B4D86"/>
    <w:rsid w:val="001B5569"/>
    <w:rsid w:val="001B6248"/>
    <w:rsid w:val="001C11AB"/>
    <w:rsid w:val="001C1466"/>
    <w:rsid w:val="001C1A8E"/>
    <w:rsid w:val="001C21B0"/>
    <w:rsid w:val="001C3031"/>
    <w:rsid w:val="001C370E"/>
    <w:rsid w:val="001C581B"/>
    <w:rsid w:val="001C583C"/>
    <w:rsid w:val="001C6350"/>
    <w:rsid w:val="001C66F9"/>
    <w:rsid w:val="001C6B3E"/>
    <w:rsid w:val="001C76B7"/>
    <w:rsid w:val="001C7DD7"/>
    <w:rsid w:val="001D0635"/>
    <w:rsid w:val="001D1619"/>
    <w:rsid w:val="001D220D"/>
    <w:rsid w:val="001D2E30"/>
    <w:rsid w:val="001D406A"/>
    <w:rsid w:val="001D4396"/>
    <w:rsid w:val="001D46ED"/>
    <w:rsid w:val="001D5310"/>
    <w:rsid w:val="001D73D7"/>
    <w:rsid w:val="001E2EDE"/>
    <w:rsid w:val="001E30B9"/>
    <w:rsid w:val="001E3642"/>
    <w:rsid w:val="001E3797"/>
    <w:rsid w:val="001E5F93"/>
    <w:rsid w:val="001E68C8"/>
    <w:rsid w:val="001E7080"/>
    <w:rsid w:val="001E74D3"/>
    <w:rsid w:val="001E7DF9"/>
    <w:rsid w:val="001E7E4A"/>
    <w:rsid w:val="001F02C2"/>
    <w:rsid w:val="001F0B63"/>
    <w:rsid w:val="001F0C4A"/>
    <w:rsid w:val="001F0D99"/>
    <w:rsid w:val="001F188D"/>
    <w:rsid w:val="001F2088"/>
    <w:rsid w:val="001F34A6"/>
    <w:rsid w:val="001F3A4B"/>
    <w:rsid w:val="001F4A5C"/>
    <w:rsid w:val="001F5607"/>
    <w:rsid w:val="001F6722"/>
    <w:rsid w:val="001F6D41"/>
    <w:rsid w:val="001F76A6"/>
    <w:rsid w:val="002006EB"/>
    <w:rsid w:val="00200AB3"/>
    <w:rsid w:val="0020149A"/>
    <w:rsid w:val="002017FA"/>
    <w:rsid w:val="0020320C"/>
    <w:rsid w:val="00203600"/>
    <w:rsid w:val="002048E2"/>
    <w:rsid w:val="002052A3"/>
    <w:rsid w:val="00205B24"/>
    <w:rsid w:val="00206103"/>
    <w:rsid w:val="00206E0E"/>
    <w:rsid w:val="00207200"/>
    <w:rsid w:val="00207DB9"/>
    <w:rsid w:val="00210CB3"/>
    <w:rsid w:val="00210FFA"/>
    <w:rsid w:val="002123CA"/>
    <w:rsid w:val="00212D3E"/>
    <w:rsid w:val="00213DAD"/>
    <w:rsid w:val="00213F88"/>
    <w:rsid w:val="002144C0"/>
    <w:rsid w:val="00215156"/>
    <w:rsid w:val="0021575C"/>
    <w:rsid w:val="00215AC1"/>
    <w:rsid w:val="00216B72"/>
    <w:rsid w:val="00217FC2"/>
    <w:rsid w:val="0022183B"/>
    <w:rsid w:val="00221DF7"/>
    <w:rsid w:val="00224496"/>
    <w:rsid w:val="00224DB5"/>
    <w:rsid w:val="0022508F"/>
    <w:rsid w:val="002258B4"/>
    <w:rsid w:val="00225BAC"/>
    <w:rsid w:val="0022644D"/>
    <w:rsid w:val="00227413"/>
    <w:rsid w:val="00227D3F"/>
    <w:rsid w:val="002324C9"/>
    <w:rsid w:val="00232C62"/>
    <w:rsid w:val="002335DF"/>
    <w:rsid w:val="0023525E"/>
    <w:rsid w:val="002352B0"/>
    <w:rsid w:val="002357A8"/>
    <w:rsid w:val="0023640F"/>
    <w:rsid w:val="00236458"/>
    <w:rsid w:val="00237A06"/>
    <w:rsid w:val="0024114F"/>
    <w:rsid w:val="00241909"/>
    <w:rsid w:val="002436DD"/>
    <w:rsid w:val="00243C68"/>
    <w:rsid w:val="00245B24"/>
    <w:rsid w:val="00246059"/>
    <w:rsid w:val="002460F8"/>
    <w:rsid w:val="00247391"/>
    <w:rsid w:val="00247E6C"/>
    <w:rsid w:val="00250AE3"/>
    <w:rsid w:val="00250BD7"/>
    <w:rsid w:val="00251085"/>
    <w:rsid w:val="002511F3"/>
    <w:rsid w:val="00251593"/>
    <w:rsid w:val="00251714"/>
    <w:rsid w:val="00252EB9"/>
    <w:rsid w:val="00254498"/>
    <w:rsid w:val="00254FB1"/>
    <w:rsid w:val="0025593F"/>
    <w:rsid w:val="00255C23"/>
    <w:rsid w:val="002564F1"/>
    <w:rsid w:val="0025720B"/>
    <w:rsid w:val="00257C9A"/>
    <w:rsid w:val="002600BF"/>
    <w:rsid w:val="0026091E"/>
    <w:rsid w:val="00260C3A"/>
    <w:rsid w:val="0026101E"/>
    <w:rsid w:val="00261188"/>
    <w:rsid w:val="002617C3"/>
    <w:rsid w:val="00261FEF"/>
    <w:rsid w:val="00262A8B"/>
    <w:rsid w:val="00262E7D"/>
    <w:rsid w:val="0026438B"/>
    <w:rsid w:val="002644B6"/>
    <w:rsid w:val="00264937"/>
    <w:rsid w:val="0026583F"/>
    <w:rsid w:val="00265943"/>
    <w:rsid w:val="0027000B"/>
    <w:rsid w:val="0027035A"/>
    <w:rsid w:val="00270ECA"/>
    <w:rsid w:val="002719C1"/>
    <w:rsid w:val="00271E82"/>
    <w:rsid w:val="002724B6"/>
    <w:rsid w:val="00272C9A"/>
    <w:rsid w:val="00272CA0"/>
    <w:rsid w:val="00273B10"/>
    <w:rsid w:val="00275239"/>
    <w:rsid w:val="002758CC"/>
    <w:rsid w:val="002765E6"/>
    <w:rsid w:val="00276846"/>
    <w:rsid w:val="002775D8"/>
    <w:rsid w:val="002806DE"/>
    <w:rsid w:val="00280B05"/>
    <w:rsid w:val="00281469"/>
    <w:rsid w:val="00282E4C"/>
    <w:rsid w:val="002834CC"/>
    <w:rsid w:val="00283554"/>
    <w:rsid w:val="002836C0"/>
    <w:rsid w:val="00283C4F"/>
    <w:rsid w:val="00284209"/>
    <w:rsid w:val="00286321"/>
    <w:rsid w:val="0028788D"/>
    <w:rsid w:val="00290EE7"/>
    <w:rsid w:val="00292771"/>
    <w:rsid w:val="00292D33"/>
    <w:rsid w:val="0029425B"/>
    <w:rsid w:val="00294FC5"/>
    <w:rsid w:val="002956C7"/>
    <w:rsid w:val="0029661A"/>
    <w:rsid w:val="00297049"/>
    <w:rsid w:val="002A02A6"/>
    <w:rsid w:val="002A0300"/>
    <w:rsid w:val="002A08D6"/>
    <w:rsid w:val="002A09B5"/>
    <w:rsid w:val="002A1021"/>
    <w:rsid w:val="002A15BA"/>
    <w:rsid w:val="002A34F8"/>
    <w:rsid w:val="002A4683"/>
    <w:rsid w:val="002A4B7F"/>
    <w:rsid w:val="002A4E1E"/>
    <w:rsid w:val="002A6412"/>
    <w:rsid w:val="002A6A2F"/>
    <w:rsid w:val="002B05A7"/>
    <w:rsid w:val="002B06D8"/>
    <w:rsid w:val="002B0E59"/>
    <w:rsid w:val="002B2154"/>
    <w:rsid w:val="002B3434"/>
    <w:rsid w:val="002B416B"/>
    <w:rsid w:val="002B4433"/>
    <w:rsid w:val="002B4567"/>
    <w:rsid w:val="002B47C7"/>
    <w:rsid w:val="002B48F1"/>
    <w:rsid w:val="002B5DBC"/>
    <w:rsid w:val="002B6E31"/>
    <w:rsid w:val="002B6E6A"/>
    <w:rsid w:val="002B7235"/>
    <w:rsid w:val="002B77BA"/>
    <w:rsid w:val="002B7E2E"/>
    <w:rsid w:val="002C01D0"/>
    <w:rsid w:val="002C0E28"/>
    <w:rsid w:val="002C2500"/>
    <w:rsid w:val="002C2AFC"/>
    <w:rsid w:val="002C3DC0"/>
    <w:rsid w:val="002C3F59"/>
    <w:rsid w:val="002C41AF"/>
    <w:rsid w:val="002C4B25"/>
    <w:rsid w:val="002C6206"/>
    <w:rsid w:val="002D067D"/>
    <w:rsid w:val="002D07DE"/>
    <w:rsid w:val="002D175F"/>
    <w:rsid w:val="002D2C7A"/>
    <w:rsid w:val="002D33A7"/>
    <w:rsid w:val="002D4B99"/>
    <w:rsid w:val="002D5115"/>
    <w:rsid w:val="002D6F41"/>
    <w:rsid w:val="002D7BB7"/>
    <w:rsid w:val="002E0650"/>
    <w:rsid w:val="002E068A"/>
    <w:rsid w:val="002E0B5F"/>
    <w:rsid w:val="002E11FB"/>
    <w:rsid w:val="002E121D"/>
    <w:rsid w:val="002E176F"/>
    <w:rsid w:val="002E2941"/>
    <w:rsid w:val="002E2FA7"/>
    <w:rsid w:val="002E384F"/>
    <w:rsid w:val="002E5457"/>
    <w:rsid w:val="002E5AB3"/>
    <w:rsid w:val="002E6E3C"/>
    <w:rsid w:val="002E7EB1"/>
    <w:rsid w:val="002F2C39"/>
    <w:rsid w:val="002F337C"/>
    <w:rsid w:val="002F3782"/>
    <w:rsid w:val="002F48E6"/>
    <w:rsid w:val="002F5098"/>
    <w:rsid w:val="002F5F81"/>
    <w:rsid w:val="002F6D29"/>
    <w:rsid w:val="002F7445"/>
    <w:rsid w:val="002F79C1"/>
    <w:rsid w:val="0030076B"/>
    <w:rsid w:val="00300B79"/>
    <w:rsid w:val="0030139B"/>
    <w:rsid w:val="003025D3"/>
    <w:rsid w:val="00302936"/>
    <w:rsid w:val="00302CB3"/>
    <w:rsid w:val="00302CE5"/>
    <w:rsid w:val="00302D23"/>
    <w:rsid w:val="0030421A"/>
    <w:rsid w:val="00304330"/>
    <w:rsid w:val="00306301"/>
    <w:rsid w:val="00311B73"/>
    <w:rsid w:val="00311D7E"/>
    <w:rsid w:val="003121B6"/>
    <w:rsid w:val="00313BF4"/>
    <w:rsid w:val="00314532"/>
    <w:rsid w:val="00315C66"/>
    <w:rsid w:val="00315EA6"/>
    <w:rsid w:val="003160EE"/>
    <w:rsid w:val="003161B8"/>
    <w:rsid w:val="00316DA3"/>
    <w:rsid w:val="00316DE4"/>
    <w:rsid w:val="0031702D"/>
    <w:rsid w:val="00320D78"/>
    <w:rsid w:val="00320EAF"/>
    <w:rsid w:val="0032226F"/>
    <w:rsid w:val="00322AC6"/>
    <w:rsid w:val="00322E4B"/>
    <w:rsid w:val="003236FA"/>
    <w:rsid w:val="00323CA9"/>
    <w:rsid w:val="00325729"/>
    <w:rsid w:val="00326D63"/>
    <w:rsid w:val="00326F97"/>
    <w:rsid w:val="00327C2B"/>
    <w:rsid w:val="00327FE7"/>
    <w:rsid w:val="0033074E"/>
    <w:rsid w:val="0033248F"/>
    <w:rsid w:val="00332AA2"/>
    <w:rsid w:val="003336E3"/>
    <w:rsid w:val="00334408"/>
    <w:rsid w:val="0033440A"/>
    <w:rsid w:val="003364F2"/>
    <w:rsid w:val="003366B7"/>
    <w:rsid w:val="00337FC3"/>
    <w:rsid w:val="00340847"/>
    <w:rsid w:val="0034088A"/>
    <w:rsid w:val="00341402"/>
    <w:rsid w:val="00341A17"/>
    <w:rsid w:val="00341D73"/>
    <w:rsid w:val="00343BD3"/>
    <w:rsid w:val="003450EC"/>
    <w:rsid w:val="003459E5"/>
    <w:rsid w:val="00345DD3"/>
    <w:rsid w:val="00346741"/>
    <w:rsid w:val="00346A28"/>
    <w:rsid w:val="00346E44"/>
    <w:rsid w:val="003505FD"/>
    <w:rsid w:val="00352F9A"/>
    <w:rsid w:val="00354E90"/>
    <w:rsid w:val="00355510"/>
    <w:rsid w:val="00355682"/>
    <w:rsid w:val="003559C0"/>
    <w:rsid w:val="00355A4E"/>
    <w:rsid w:val="0035671F"/>
    <w:rsid w:val="00356E5D"/>
    <w:rsid w:val="00360CEE"/>
    <w:rsid w:val="0036114C"/>
    <w:rsid w:val="003625A5"/>
    <w:rsid w:val="0036470D"/>
    <w:rsid w:val="00364FA1"/>
    <w:rsid w:val="003656AA"/>
    <w:rsid w:val="00365784"/>
    <w:rsid w:val="003657E0"/>
    <w:rsid w:val="003660C6"/>
    <w:rsid w:val="003663CF"/>
    <w:rsid w:val="00367024"/>
    <w:rsid w:val="003677D2"/>
    <w:rsid w:val="00367892"/>
    <w:rsid w:val="00367AA8"/>
    <w:rsid w:val="00367EA5"/>
    <w:rsid w:val="00370D85"/>
    <w:rsid w:val="0037125A"/>
    <w:rsid w:val="00372B07"/>
    <w:rsid w:val="00372E8F"/>
    <w:rsid w:val="00373078"/>
    <w:rsid w:val="00373696"/>
    <w:rsid w:val="00373CC1"/>
    <w:rsid w:val="00375412"/>
    <w:rsid w:val="00376549"/>
    <w:rsid w:val="003801B9"/>
    <w:rsid w:val="00380D8B"/>
    <w:rsid w:val="003823D8"/>
    <w:rsid w:val="00383597"/>
    <w:rsid w:val="003836E6"/>
    <w:rsid w:val="00383CED"/>
    <w:rsid w:val="00383F50"/>
    <w:rsid w:val="00384A8B"/>
    <w:rsid w:val="00384E53"/>
    <w:rsid w:val="003851AC"/>
    <w:rsid w:val="00385A08"/>
    <w:rsid w:val="0038711E"/>
    <w:rsid w:val="00390611"/>
    <w:rsid w:val="00390EEA"/>
    <w:rsid w:val="00392F24"/>
    <w:rsid w:val="00393BB5"/>
    <w:rsid w:val="00394880"/>
    <w:rsid w:val="00395134"/>
    <w:rsid w:val="00395A81"/>
    <w:rsid w:val="00397256"/>
    <w:rsid w:val="003979DA"/>
    <w:rsid w:val="00397BA4"/>
    <w:rsid w:val="00397C92"/>
    <w:rsid w:val="003A2456"/>
    <w:rsid w:val="003A2896"/>
    <w:rsid w:val="003A2AA1"/>
    <w:rsid w:val="003A2ABF"/>
    <w:rsid w:val="003A31AA"/>
    <w:rsid w:val="003A443B"/>
    <w:rsid w:val="003A5AF4"/>
    <w:rsid w:val="003A5BC2"/>
    <w:rsid w:val="003B0430"/>
    <w:rsid w:val="003B1188"/>
    <w:rsid w:val="003B1FF4"/>
    <w:rsid w:val="003B27D8"/>
    <w:rsid w:val="003B3492"/>
    <w:rsid w:val="003B41C5"/>
    <w:rsid w:val="003B4556"/>
    <w:rsid w:val="003B58EF"/>
    <w:rsid w:val="003B5BC3"/>
    <w:rsid w:val="003B5E1C"/>
    <w:rsid w:val="003B5F06"/>
    <w:rsid w:val="003B5FC9"/>
    <w:rsid w:val="003B665F"/>
    <w:rsid w:val="003B7DA2"/>
    <w:rsid w:val="003C08EE"/>
    <w:rsid w:val="003C0AAC"/>
    <w:rsid w:val="003C28BB"/>
    <w:rsid w:val="003C2F73"/>
    <w:rsid w:val="003C3286"/>
    <w:rsid w:val="003C4AFA"/>
    <w:rsid w:val="003C4BBB"/>
    <w:rsid w:val="003C6333"/>
    <w:rsid w:val="003C6653"/>
    <w:rsid w:val="003C697A"/>
    <w:rsid w:val="003C79AF"/>
    <w:rsid w:val="003D1D4E"/>
    <w:rsid w:val="003D2DCC"/>
    <w:rsid w:val="003D3000"/>
    <w:rsid w:val="003D3393"/>
    <w:rsid w:val="003D33FA"/>
    <w:rsid w:val="003D615A"/>
    <w:rsid w:val="003D6EAF"/>
    <w:rsid w:val="003D75CC"/>
    <w:rsid w:val="003D7A42"/>
    <w:rsid w:val="003E1A84"/>
    <w:rsid w:val="003E2DDA"/>
    <w:rsid w:val="003E347B"/>
    <w:rsid w:val="003E399B"/>
    <w:rsid w:val="003E52EB"/>
    <w:rsid w:val="003E54C9"/>
    <w:rsid w:val="003E5ACB"/>
    <w:rsid w:val="003E64D7"/>
    <w:rsid w:val="003E6818"/>
    <w:rsid w:val="003E6AF2"/>
    <w:rsid w:val="003E701B"/>
    <w:rsid w:val="003E77BF"/>
    <w:rsid w:val="003E7D08"/>
    <w:rsid w:val="003E7FFC"/>
    <w:rsid w:val="003F01B6"/>
    <w:rsid w:val="003F02C2"/>
    <w:rsid w:val="003F039F"/>
    <w:rsid w:val="003F1CA2"/>
    <w:rsid w:val="003F208B"/>
    <w:rsid w:val="003F20EC"/>
    <w:rsid w:val="003F293D"/>
    <w:rsid w:val="003F2AA8"/>
    <w:rsid w:val="003F2B8A"/>
    <w:rsid w:val="003F3C04"/>
    <w:rsid w:val="003F4993"/>
    <w:rsid w:val="003F6C0D"/>
    <w:rsid w:val="003F7FDE"/>
    <w:rsid w:val="00401E86"/>
    <w:rsid w:val="00401F50"/>
    <w:rsid w:val="004032C6"/>
    <w:rsid w:val="00403409"/>
    <w:rsid w:val="00403834"/>
    <w:rsid w:val="00406417"/>
    <w:rsid w:val="00407061"/>
    <w:rsid w:val="0040735E"/>
    <w:rsid w:val="0040782C"/>
    <w:rsid w:val="0041187E"/>
    <w:rsid w:val="00411DDE"/>
    <w:rsid w:val="004132A7"/>
    <w:rsid w:val="0041480B"/>
    <w:rsid w:val="00414EAA"/>
    <w:rsid w:val="00416360"/>
    <w:rsid w:val="00416E56"/>
    <w:rsid w:val="00420CC2"/>
    <w:rsid w:val="00420F7D"/>
    <w:rsid w:val="004213FE"/>
    <w:rsid w:val="004249AE"/>
    <w:rsid w:val="0042634D"/>
    <w:rsid w:val="00426AD8"/>
    <w:rsid w:val="00427358"/>
    <w:rsid w:val="0043086C"/>
    <w:rsid w:val="00430CD4"/>
    <w:rsid w:val="00431144"/>
    <w:rsid w:val="004339E4"/>
    <w:rsid w:val="0043598A"/>
    <w:rsid w:val="00435CC1"/>
    <w:rsid w:val="004362F2"/>
    <w:rsid w:val="00436D43"/>
    <w:rsid w:val="00436D95"/>
    <w:rsid w:val="00440800"/>
    <w:rsid w:val="004409C4"/>
    <w:rsid w:val="00440BE0"/>
    <w:rsid w:val="0044404D"/>
    <w:rsid w:val="00444080"/>
    <w:rsid w:val="004441DF"/>
    <w:rsid w:val="004448E0"/>
    <w:rsid w:val="00445AF3"/>
    <w:rsid w:val="00447C21"/>
    <w:rsid w:val="004537E4"/>
    <w:rsid w:val="00456AD7"/>
    <w:rsid w:val="00456D88"/>
    <w:rsid w:val="00461211"/>
    <w:rsid w:val="004613F6"/>
    <w:rsid w:val="00461CB3"/>
    <w:rsid w:val="00462244"/>
    <w:rsid w:val="004622C6"/>
    <w:rsid w:val="004639CE"/>
    <w:rsid w:val="00464236"/>
    <w:rsid w:val="004653F1"/>
    <w:rsid w:val="0047082E"/>
    <w:rsid w:val="004709C7"/>
    <w:rsid w:val="00471369"/>
    <w:rsid w:val="00471B06"/>
    <w:rsid w:val="00471D8A"/>
    <w:rsid w:val="004733B6"/>
    <w:rsid w:val="00473918"/>
    <w:rsid w:val="00473B42"/>
    <w:rsid w:val="004758DC"/>
    <w:rsid w:val="00476F30"/>
    <w:rsid w:val="00477396"/>
    <w:rsid w:val="004802E5"/>
    <w:rsid w:val="00480B3F"/>
    <w:rsid w:val="00480D73"/>
    <w:rsid w:val="00483FED"/>
    <w:rsid w:val="00484DE5"/>
    <w:rsid w:val="004867BF"/>
    <w:rsid w:val="004876B1"/>
    <w:rsid w:val="00491763"/>
    <w:rsid w:val="0049176B"/>
    <w:rsid w:val="004921A9"/>
    <w:rsid w:val="004930DF"/>
    <w:rsid w:val="00494407"/>
    <w:rsid w:val="00494FA6"/>
    <w:rsid w:val="00495AE0"/>
    <w:rsid w:val="00495C83"/>
    <w:rsid w:val="00496595"/>
    <w:rsid w:val="0049796F"/>
    <w:rsid w:val="00497AAD"/>
    <w:rsid w:val="004A1A22"/>
    <w:rsid w:val="004A1B39"/>
    <w:rsid w:val="004A1C69"/>
    <w:rsid w:val="004A26D8"/>
    <w:rsid w:val="004A31B0"/>
    <w:rsid w:val="004A3B02"/>
    <w:rsid w:val="004A4594"/>
    <w:rsid w:val="004A5FFC"/>
    <w:rsid w:val="004A6202"/>
    <w:rsid w:val="004A6892"/>
    <w:rsid w:val="004A6CF9"/>
    <w:rsid w:val="004A7425"/>
    <w:rsid w:val="004A77A0"/>
    <w:rsid w:val="004B046D"/>
    <w:rsid w:val="004B0679"/>
    <w:rsid w:val="004B0776"/>
    <w:rsid w:val="004B09F5"/>
    <w:rsid w:val="004B0E51"/>
    <w:rsid w:val="004B11BC"/>
    <w:rsid w:val="004B179B"/>
    <w:rsid w:val="004B2DD4"/>
    <w:rsid w:val="004B2E61"/>
    <w:rsid w:val="004B360C"/>
    <w:rsid w:val="004B3B96"/>
    <w:rsid w:val="004B3E23"/>
    <w:rsid w:val="004B4DEF"/>
    <w:rsid w:val="004B53BC"/>
    <w:rsid w:val="004B5D29"/>
    <w:rsid w:val="004B6DF3"/>
    <w:rsid w:val="004B7081"/>
    <w:rsid w:val="004C122C"/>
    <w:rsid w:val="004C3695"/>
    <w:rsid w:val="004C3835"/>
    <w:rsid w:val="004C483A"/>
    <w:rsid w:val="004C66BA"/>
    <w:rsid w:val="004C7178"/>
    <w:rsid w:val="004C7973"/>
    <w:rsid w:val="004D03E5"/>
    <w:rsid w:val="004D058D"/>
    <w:rsid w:val="004D0612"/>
    <w:rsid w:val="004D1731"/>
    <w:rsid w:val="004D1F94"/>
    <w:rsid w:val="004D234C"/>
    <w:rsid w:val="004D2496"/>
    <w:rsid w:val="004D3605"/>
    <w:rsid w:val="004D60EE"/>
    <w:rsid w:val="004D721D"/>
    <w:rsid w:val="004D760C"/>
    <w:rsid w:val="004D7D0B"/>
    <w:rsid w:val="004E11F1"/>
    <w:rsid w:val="004E1346"/>
    <w:rsid w:val="004E23C0"/>
    <w:rsid w:val="004E2AF6"/>
    <w:rsid w:val="004E31F7"/>
    <w:rsid w:val="004E56EF"/>
    <w:rsid w:val="004E5C17"/>
    <w:rsid w:val="004E6533"/>
    <w:rsid w:val="004E68C3"/>
    <w:rsid w:val="004E733D"/>
    <w:rsid w:val="004E7A2F"/>
    <w:rsid w:val="004E7C17"/>
    <w:rsid w:val="004F0B87"/>
    <w:rsid w:val="004F147B"/>
    <w:rsid w:val="004F1B75"/>
    <w:rsid w:val="004F2110"/>
    <w:rsid w:val="004F30E6"/>
    <w:rsid w:val="004F3C66"/>
    <w:rsid w:val="004F426C"/>
    <w:rsid w:val="004F46CF"/>
    <w:rsid w:val="004F49F3"/>
    <w:rsid w:val="004F4C0F"/>
    <w:rsid w:val="004F4CF9"/>
    <w:rsid w:val="004F5A5A"/>
    <w:rsid w:val="004F5DB6"/>
    <w:rsid w:val="004F7D2C"/>
    <w:rsid w:val="004F7E8D"/>
    <w:rsid w:val="0050029D"/>
    <w:rsid w:val="00500D87"/>
    <w:rsid w:val="00501BA3"/>
    <w:rsid w:val="00502191"/>
    <w:rsid w:val="005038E4"/>
    <w:rsid w:val="00503D80"/>
    <w:rsid w:val="00506020"/>
    <w:rsid w:val="00506E45"/>
    <w:rsid w:val="00510AD2"/>
    <w:rsid w:val="00510B84"/>
    <w:rsid w:val="005118CE"/>
    <w:rsid w:val="0051368B"/>
    <w:rsid w:val="005139EB"/>
    <w:rsid w:val="005141D2"/>
    <w:rsid w:val="00515E29"/>
    <w:rsid w:val="00517FD4"/>
    <w:rsid w:val="00520F8A"/>
    <w:rsid w:val="005212B1"/>
    <w:rsid w:val="005214AB"/>
    <w:rsid w:val="005222E5"/>
    <w:rsid w:val="0052337A"/>
    <w:rsid w:val="00525CCA"/>
    <w:rsid w:val="0052657C"/>
    <w:rsid w:val="00526D95"/>
    <w:rsid w:val="005274FA"/>
    <w:rsid w:val="00527B01"/>
    <w:rsid w:val="00530CFB"/>
    <w:rsid w:val="00531C15"/>
    <w:rsid w:val="00532979"/>
    <w:rsid w:val="00532DC9"/>
    <w:rsid w:val="00533228"/>
    <w:rsid w:val="00534482"/>
    <w:rsid w:val="00534AA2"/>
    <w:rsid w:val="0053597E"/>
    <w:rsid w:val="00535BC5"/>
    <w:rsid w:val="0053630C"/>
    <w:rsid w:val="00537079"/>
    <w:rsid w:val="00537243"/>
    <w:rsid w:val="00537971"/>
    <w:rsid w:val="0054091F"/>
    <w:rsid w:val="00541974"/>
    <w:rsid w:val="00542C20"/>
    <w:rsid w:val="005441D8"/>
    <w:rsid w:val="00547527"/>
    <w:rsid w:val="00547CB4"/>
    <w:rsid w:val="00547FCA"/>
    <w:rsid w:val="00550544"/>
    <w:rsid w:val="00552B28"/>
    <w:rsid w:val="00552B58"/>
    <w:rsid w:val="0055399C"/>
    <w:rsid w:val="00553A9B"/>
    <w:rsid w:val="005546B6"/>
    <w:rsid w:val="005555CF"/>
    <w:rsid w:val="00556193"/>
    <w:rsid w:val="00560A2B"/>
    <w:rsid w:val="00562408"/>
    <w:rsid w:val="005626EE"/>
    <w:rsid w:val="00562B4F"/>
    <w:rsid w:val="00563261"/>
    <w:rsid w:val="005635F3"/>
    <w:rsid w:val="00563CEB"/>
    <w:rsid w:val="0056416D"/>
    <w:rsid w:val="005645AF"/>
    <w:rsid w:val="00565867"/>
    <w:rsid w:val="0056587A"/>
    <w:rsid w:val="005659AF"/>
    <w:rsid w:val="00565DBB"/>
    <w:rsid w:val="005660D8"/>
    <w:rsid w:val="005664DA"/>
    <w:rsid w:val="00566B45"/>
    <w:rsid w:val="0057059D"/>
    <w:rsid w:val="00571BB5"/>
    <w:rsid w:val="00572751"/>
    <w:rsid w:val="0057350D"/>
    <w:rsid w:val="00573EE7"/>
    <w:rsid w:val="00574F8B"/>
    <w:rsid w:val="00575A7D"/>
    <w:rsid w:val="00575BFA"/>
    <w:rsid w:val="00575D88"/>
    <w:rsid w:val="00576D77"/>
    <w:rsid w:val="005770D2"/>
    <w:rsid w:val="00577499"/>
    <w:rsid w:val="00577C1A"/>
    <w:rsid w:val="005806DF"/>
    <w:rsid w:val="005810D7"/>
    <w:rsid w:val="0058145F"/>
    <w:rsid w:val="0058167E"/>
    <w:rsid w:val="00581F44"/>
    <w:rsid w:val="00582A1D"/>
    <w:rsid w:val="00582C39"/>
    <w:rsid w:val="005830F4"/>
    <w:rsid w:val="00583386"/>
    <w:rsid w:val="00584483"/>
    <w:rsid w:val="00585E99"/>
    <w:rsid w:val="00586A60"/>
    <w:rsid w:val="00586B1D"/>
    <w:rsid w:val="00587502"/>
    <w:rsid w:val="00587B1B"/>
    <w:rsid w:val="00587DAE"/>
    <w:rsid w:val="005900F5"/>
    <w:rsid w:val="00590A83"/>
    <w:rsid w:val="00590D29"/>
    <w:rsid w:val="00590D2D"/>
    <w:rsid w:val="00591260"/>
    <w:rsid w:val="0059198E"/>
    <w:rsid w:val="005920C8"/>
    <w:rsid w:val="00592B56"/>
    <w:rsid w:val="00592C66"/>
    <w:rsid w:val="00592E45"/>
    <w:rsid w:val="005932E0"/>
    <w:rsid w:val="00594FAD"/>
    <w:rsid w:val="00595762"/>
    <w:rsid w:val="00595A72"/>
    <w:rsid w:val="00595C5C"/>
    <w:rsid w:val="00597034"/>
    <w:rsid w:val="00597115"/>
    <w:rsid w:val="005A0B7B"/>
    <w:rsid w:val="005A62EC"/>
    <w:rsid w:val="005A6428"/>
    <w:rsid w:val="005A777F"/>
    <w:rsid w:val="005B1582"/>
    <w:rsid w:val="005B3114"/>
    <w:rsid w:val="005B5858"/>
    <w:rsid w:val="005B6353"/>
    <w:rsid w:val="005B6734"/>
    <w:rsid w:val="005B79A7"/>
    <w:rsid w:val="005C143F"/>
    <w:rsid w:val="005C1E4D"/>
    <w:rsid w:val="005C2B32"/>
    <w:rsid w:val="005C3E8E"/>
    <w:rsid w:val="005C4344"/>
    <w:rsid w:val="005C4508"/>
    <w:rsid w:val="005C4DAF"/>
    <w:rsid w:val="005C6846"/>
    <w:rsid w:val="005D1901"/>
    <w:rsid w:val="005D48CF"/>
    <w:rsid w:val="005D4C73"/>
    <w:rsid w:val="005D5105"/>
    <w:rsid w:val="005D59C5"/>
    <w:rsid w:val="005D5A7B"/>
    <w:rsid w:val="005D7124"/>
    <w:rsid w:val="005D7C9E"/>
    <w:rsid w:val="005E0C74"/>
    <w:rsid w:val="005E1599"/>
    <w:rsid w:val="005E2037"/>
    <w:rsid w:val="005E2FEE"/>
    <w:rsid w:val="005E342D"/>
    <w:rsid w:val="005E5CD0"/>
    <w:rsid w:val="005F19F7"/>
    <w:rsid w:val="005F1A2D"/>
    <w:rsid w:val="005F2004"/>
    <w:rsid w:val="005F2081"/>
    <w:rsid w:val="005F2187"/>
    <w:rsid w:val="005F226B"/>
    <w:rsid w:val="005F3047"/>
    <w:rsid w:val="005F3E7F"/>
    <w:rsid w:val="005F45DD"/>
    <w:rsid w:val="005F4621"/>
    <w:rsid w:val="005F4C2D"/>
    <w:rsid w:val="005F57B2"/>
    <w:rsid w:val="005F6093"/>
    <w:rsid w:val="005F653D"/>
    <w:rsid w:val="006001CF"/>
    <w:rsid w:val="00600546"/>
    <w:rsid w:val="00600B0D"/>
    <w:rsid w:val="00600C41"/>
    <w:rsid w:val="00601F64"/>
    <w:rsid w:val="006037C2"/>
    <w:rsid w:val="00603D42"/>
    <w:rsid w:val="006045FA"/>
    <w:rsid w:val="006048ED"/>
    <w:rsid w:val="0061056D"/>
    <w:rsid w:val="0061097F"/>
    <w:rsid w:val="00611625"/>
    <w:rsid w:val="006122E8"/>
    <w:rsid w:val="0061271F"/>
    <w:rsid w:val="006145EC"/>
    <w:rsid w:val="006151B3"/>
    <w:rsid w:val="006153D3"/>
    <w:rsid w:val="00615AF6"/>
    <w:rsid w:val="00616971"/>
    <w:rsid w:val="0061728C"/>
    <w:rsid w:val="00620006"/>
    <w:rsid w:val="0062086A"/>
    <w:rsid w:val="00620C99"/>
    <w:rsid w:val="00621CD5"/>
    <w:rsid w:val="00621E81"/>
    <w:rsid w:val="00622B88"/>
    <w:rsid w:val="00622CAD"/>
    <w:rsid w:val="0062364F"/>
    <w:rsid w:val="006242D5"/>
    <w:rsid w:val="00624567"/>
    <w:rsid w:val="00624A30"/>
    <w:rsid w:val="00624D23"/>
    <w:rsid w:val="0062547F"/>
    <w:rsid w:val="00625EC2"/>
    <w:rsid w:val="00626131"/>
    <w:rsid w:val="00627EE9"/>
    <w:rsid w:val="00630FDC"/>
    <w:rsid w:val="0063211F"/>
    <w:rsid w:val="00633333"/>
    <w:rsid w:val="0063402D"/>
    <w:rsid w:val="0063413D"/>
    <w:rsid w:val="006343A9"/>
    <w:rsid w:val="006345C3"/>
    <w:rsid w:val="006345CB"/>
    <w:rsid w:val="00634961"/>
    <w:rsid w:val="00634A9B"/>
    <w:rsid w:val="00634E2B"/>
    <w:rsid w:val="006351B2"/>
    <w:rsid w:val="00635AEA"/>
    <w:rsid w:val="00637062"/>
    <w:rsid w:val="006421D6"/>
    <w:rsid w:val="00642437"/>
    <w:rsid w:val="00642738"/>
    <w:rsid w:val="006438E0"/>
    <w:rsid w:val="00644940"/>
    <w:rsid w:val="00644BEB"/>
    <w:rsid w:val="00645872"/>
    <w:rsid w:val="00645CA9"/>
    <w:rsid w:val="0064602B"/>
    <w:rsid w:val="006460C9"/>
    <w:rsid w:val="006467F1"/>
    <w:rsid w:val="0064682B"/>
    <w:rsid w:val="00650C28"/>
    <w:rsid w:val="00651A51"/>
    <w:rsid w:val="0065339E"/>
    <w:rsid w:val="0065409D"/>
    <w:rsid w:val="0065722E"/>
    <w:rsid w:val="00663236"/>
    <w:rsid w:val="00664FA5"/>
    <w:rsid w:val="0066562E"/>
    <w:rsid w:val="00666114"/>
    <w:rsid w:val="0066728C"/>
    <w:rsid w:val="00667F7A"/>
    <w:rsid w:val="006710BE"/>
    <w:rsid w:val="00672B7E"/>
    <w:rsid w:val="00672D0D"/>
    <w:rsid w:val="00673982"/>
    <w:rsid w:val="00673A9F"/>
    <w:rsid w:val="00673AF7"/>
    <w:rsid w:val="00673D45"/>
    <w:rsid w:val="00673FB0"/>
    <w:rsid w:val="00674E3E"/>
    <w:rsid w:val="00675B94"/>
    <w:rsid w:val="00676500"/>
    <w:rsid w:val="00676883"/>
    <w:rsid w:val="00677556"/>
    <w:rsid w:val="00677F5A"/>
    <w:rsid w:val="00680055"/>
    <w:rsid w:val="00680380"/>
    <w:rsid w:val="00681C63"/>
    <w:rsid w:val="0068292D"/>
    <w:rsid w:val="006829E3"/>
    <w:rsid w:val="00682A6B"/>
    <w:rsid w:val="006836F8"/>
    <w:rsid w:val="0068415E"/>
    <w:rsid w:val="006841E4"/>
    <w:rsid w:val="00684D1E"/>
    <w:rsid w:val="00684EE9"/>
    <w:rsid w:val="00685570"/>
    <w:rsid w:val="0068563D"/>
    <w:rsid w:val="0068686D"/>
    <w:rsid w:val="0069502A"/>
    <w:rsid w:val="00695732"/>
    <w:rsid w:val="00696224"/>
    <w:rsid w:val="006A12D9"/>
    <w:rsid w:val="006A1FF5"/>
    <w:rsid w:val="006A32AA"/>
    <w:rsid w:val="006A35DF"/>
    <w:rsid w:val="006A4165"/>
    <w:rsid w:val="006B0AB3"/>
    <w:rsid w:val="006B0C53"/>
    <w:rsid w:val="006B148E"/>
    <w:rsid w:val="006B286D"/>
    <w:rsid w:val="006B4079"/>
    <w:rsid w:val="006B4830"/>
    <w:rsid w:val="006B635B"/>
    <w:rsid w:val="006B6A18"/>
    <w:rsid w:val="006B6A88"/>
    <w:rsid w:val="006C04AA"/>
    <w:rsid w:val="006C3281"/>
    <w:rsid w:val="006C42D0"/>
    <w:rsid w:val="006C5374"/>
    <w:rsid w:val="006C5EFC"/>
    <w:rsid w:val="006C6C8D"/>
    <w:rsid w:val="006C6D5E"/>
    <w:rsid w:val="006C7E1B"/>
    <w:rsid w:val="006D0BAB"/>
    <w:rsid w:val="006D0EF9"/>
    <w:rsid w:val="006D0FFA"/>
    <w:rsid w:val="006D1538"/>
    <w:rsid w:val="006D1980"/>
    <w:rsid w:val="006D1CAD"/>
    <w:rsid w:val="006D1F8E"/>
    <w:rsid w:val="006D37BF"/>
    <w:rsid w:val="006D3A59"/>
    <w:rsid w:val="006D3BFB"/>
    <w:rsid w:val="006D3C69"/>
    <w:rsid w:val="006D3DE5"/>
    <w:rsid w:val="006D4E71"/>
    <w:rsid w:val="006D4F00"/>
    <w:rsid w:val="006D4FAA"/>
    <w:rsid w:val="006D6304"/>
    <w:rsid w:val="006D6B7B"/>
    <w:rsid w:val="006D705F"/>
    <w:rsid w:val="006D7AE6"/>
    <w:rsid w:val="006E0321"/>
    <w:rsid w:val="006E037D"/>
    <w:rsid w:val="006E1792"/>
    <w:rsid w:val="006E2781"/>
    <w:rsid w:val="006E29DE"/>
    <w:rsid w:val="006E3376"/>
    <w:rsid w:val="006E39C4"/>
    <w:rsid w:val="006E4973"/>
    <w:rsid w:val="006E58C4"/>
    <w:rsid w:val="006E5D1C"/>
    <w:rsid w:val="006E7570"/>
    <w:rsid w:val="006E75F0"/>
    <w:rsid w:val="006E7616"/>
    <w:rsid w:val="006F0B4E"/>
    <w:rsid w:val="006F205E"/>
    <w:rsid w:val="006F23A9"/>
    <w:rsid w:val="006F2412"/>
    <w:rsid w:val="006F2809"/>
    <w:rsid w:val="006F4635"/>
    <w:rsid w:val="006F4CF2"/>
    <w:rsid w:val="006F602A"/>
    <w:rsid w:val="006F63C5"/>
    <w:rsid w:val="006F6AEF"/>
    <w:rsid w:val="006F6AFB"/>
    <w:rsid w:val="006F6DB0"/>
    <w:rsid w:val="006F6F59"/>
    <w:rsid w:val="006F7145"/>
    <w:rsid w:val="006F7DE8"/>
    <w:rsid w:val="006F7FA6"/>
    <w:rsid w:val="007017ED"/>
    <w:rsid w:val="007019BE"/>
    <w:rsid w:val="00701BAB"/>
    <w:rsid w:val="00701D7E"/>
    <w:rsid w:val="00701FA3"/>
    <w:rsid w:val="0070305E"/>
    <w:rsid w:val="00703434"/>
    <w:rsid w:val="00703510"/>
    <w:rsid w:val="00704E0F"/>
    <w:rsid w:val="00704F78"/>
    <w:rsid w:val="00706155"/>
    <w:rsid w:val="007074DF"/>
    <w:rsid w:val="007101B2"/>
    <w:rsid w:val="00710A3B"/>
    <w:rsid w:val="007119A8"/>
    <w:rsid w:val="00714017"/>
    <w:rsid w:val="0071453C"/>
    <w:rsid w:val="00714B83"/>
    <w:rsid w:val="0071697B"/>
    <w:rsid w:val="00717293"/>
    <w:rsid w:val="00717A45"/>
    <w:rsid w:val="0072100F"/>
    <w:rsid w:val="00722DED"/>
    <w:rsid w:val="00722E83"/>
    <w:rsid w:val="00723072"/>
    <w:rsid w:val="00725698"/>
    <w:rsid w:val="00725893"/>
    <w:rsid w:val="00726260"/>
    <w:rsid w:val="00726C82"/>
    <w:rsid w:val="00727787"/>
    <w:rsid w:val="00727C5A"/>
    <w:rsid w:val="00727DDC"/>
    <w:rsid w:val="007300A2"/>
    <w:rsid w:val="007305A7"/>
    <w:rsid w:val="00730884"/>
    <w:rsid w:val="0073135F"/>
    <w:rsid w:val="007314D5"/>
    <w:rsid w:val="00731961"/>
    <w:rsid w:val="00732EC4"/>
    <w:rsid w:val="00732FBD"/>
    <w:rsid w:val="00733A39"/>
    <w:rsid w:val="00733E01"/>
    <w:rsid w:val="00733E37"/>
    <w:rsid w:val="00734263"/>
    <w:rsid w:val="007345DE"/>
    <w:rsid w:val="007354CC"/>
    <w:rsid w:val="00735DCC"/>
    <w:rsid w:val="00735E84"/>
    <w:rsid w:val="00736A10"/>
    <w:rsid w:val="00737D88"/>
    <w:rsid w:val="007410D3"/>
    <w:rsid w:val="00741467"/>
    <w:rsid w:val="00741BED"/>
    <w:rsid w:val="0074236D"/>
    <w:rsid w:val="0074430C"/>
    <w:rsid w:val="00744DE7"/>
    <w:rsid w:val="00745023"/>
    <w:rsid w:val="00745676"/>
    <w:rsid w:val="00745C3D"/>
    <w:rsid w:val="00746BFE"/>
    <w:rsid w:val="0075020C"/>
    <w:rsid w:val="00750E79"/>
    <w:rsid w:val="00753249"/>
    <w:rsid w:val="007542D0"/>
    <w:rsid w:val="00755CC7"/>
    <w:rsid w:val="00755CE5"/>
    <w:rsid w:val="00755EB4"/>
    <w:rsid w:val="007566E0"/>
    <w:rsid w:val="00757794"/>
    <w:rsid w:val="00760C93"/>
    <w:rsid w:val="007612CE"/>
    <w:rsid w:val="00761E3C"/>
    <w:rsid w:val="00761EA6"/>
    <w:rsid w:val="00762406"/>
    <w:rsid w:val="007627AE"/>
    <w:rsid w:val="007635FF"/>
    <w:rsid w:val="00765E73"/>
    <w:rsid w:val="0076626F"/>
    <w:rsid w:val="00766547"/>
    <w:rsid w:val="007668C7"/>
    <w:rsid w:val="00766BE6"/>
    <w:rsid w:val="0076749E"/>
    <w:rsid w:val="0076751A"/>
    <w:rsid w:val="00767AD0"/>
    <w:rsid w:val="00771846"/>
    <w:rsid w:val="007718A7"/>
    <w:rsid w:val="00772E2C"/>
    <w:rsid w:val="00773524"/>
    <w:rsid w:val="007738E1"/>
    <w:rsid w:val="00774393"/>
    <w:rsid w:val="00774633"/>
    <w:rsid w:val="00775C65"/>
    <w:rsid w:val="00777ABF"/>
    <w:rsid w:val="00780B49"/>
    <w:rsid w:val="00780E69"/>
    <w:rsid w:val="00781417"/>
    <w:rsid w:val="0078195C"/>
    <w:rsid w:val="007824C8"/>
    <w:rsid w:val="0078289B"/>
    <w:rsid w:val="00782978"/>
    <w:rsid w:val="00784E13"/>
    <w:rsid w:val="007863D8"/>
    <w:rsid w:val="00786652"/>
    <w:rsid w:val="00787233"/>
    <w:rsid w:val="00787262"/>
    <w:rsid w:val="00790D35"/>
    <w:rsid w:val="007914CA"/>
    <w:rsid w:val="007916F5"/>
    <w:rsid w:val="00791AA4"/>
    <w:rsid w:val="007921E1"/>
    <w:rsid w:val="00792797"/>
    <w:rsid w:val="00793ED2"/>
    <w:rsid w:val="007941BB"/>
    <w:rsid w:val="00795B85"/>
    <w:rsid w:val="007963B5"/>
    <w:rsid w:val="007967FE"/>
    <w:rsid w:val="00797D9B"/>
    <w:rsid w:val="00797F0F"/>
    <w:rsid w:val="007A04B1"/>
    <w:rsid w:val="007A0ECA"/>
    <w:rsid w:val="007A1607"/>
    <w:rsid w:val="007A272A"/>
    <w:rsid w:val="007A3D7C"/>
    <w:rsid w:val="007A4C10"/>
    <w:rsid w:val="007B0F0C"/>
    <w:rsid w:val="007B1A41"/>
    <w:rsid w:val="007B1C3C"/>
    <w:rsid w:val="007B240A"/>
    <w:rsid w:val="007B279F"/>
    <w:rsid w:val="007B2A67"/>
    <w:rsid w:val="007B2C32"/>
    <w:rsid w:val="007B3A9E"/>
    <w:rsid w:val="007B3C88"/>
    <w:rsid w:val="007B41CC"/>
    <w:rsid w:val="007B5F81"/>
    <w:rsid w:val="007B60D7"/>
    <w:rsid w:val="007B65B8"/>
    <w:rsid w:val="007C039D"/>
    <w:rsid w:val="007C3108"/>
    <w:rsid w:val="007C3B28"/>
    <w:rsid w:val="007C5C18"/>
    <w:rsid w:val="007C5E29"/>
    <w:rsid w:val="007C6453"/>
    <w:rsid w:val="007C7098"/>
    <w:rsid w:val="007C74B9"/>
    <w:rsid w:val="007C74E8"/>
    <w:rsid w:val="007C7721"/>
    <w:rsid w:val="007D01D5"/>
    <w:rsid w:val="007D0260"/>
    <w:rsid w:val="007D103E"/>
    <w:rsid w:val="007D1879"/>
    <w:rsid w:val="007D2D38"/>
    <w:rsid w:val="007D3439"/>
    <w:rsid w:val="007D3C69"/>
    <w:rsid w:val="007D3D78"/>
    <w:rsid w:val="007D4D11"/>
    <w:rsid w:val="007D5B0E"/>
    <w:rsid w:val="007D60B2"/>
    <w:rsid w:val="007D6615"/>
    <w:rsid w:val="007E1BD7"/>
    <w:rsid w:val="007E38E1"/>
    <w:rsid w:val="007E3CF4"/>
    <w:rsid w:val="007E4814"/>
    <w:rsid w:val="007E563D"/>
    <w:rsid w:val="007E6490"/>
    <w:rsid w:val="007E6C05"/>
    <w:rsid w:val="007E7098"/>
    <w:rsid w:val="007E7641"/>
    <w:rsid w:val="007E7A03"/>
    <w:rsid w:val="007F12C0"/>
    <w:rsid w:val="007F1F2F"/>
    <w:rsid w:val="007F267B"/>
    <w:rsid w:val="007F2717"/>
    <w:rsid w:val="007F3F9E"/>
    <w:rsid w:val="007F4FC7"/>
    <w:rsid w:val="007F52D9"/>
    <w:rsid w:val="007F591C"/>
    <w:rsid w:val="007F7589"/>
    <w:rsid w:val="007F775D"/>
    <w:rsid w:val="008012DE"/>
    <w:rsid w:val="00801ACF"/>
    <w:rsid w:val="00802F60"/>
    <w:rsid w:val="00803351"/>
    <w:rsid w:val="008033F7"/>
    <w:rsid w:val="00805482"/>
    <w:rsid w:val="00805C81"/>
    <w:rsid w:val="00806FCE"/>
    <w:rsid w:val="008074C7"/>
    <w:rsid w:val="00807804"/>
    <w:rsid w:val="008078E8"/>
    <w:rsid w:val="00807ACF"/>
    <w:rsid w:val="00810875"/>
    <w:rsid w:val="00811BE4"/>
    <w:rsid w:val="00811E1B"/>
    <w:rsid w:val="00813B63"/>
    <w:rsid w:val="0081587A"/>
    <w:rsid w:val="0081592E"/>
    <w:rsid w:val="008204B2"/>
    <w:rsid w:val="0082076B"/>
    <w:rsid w:val="00820FF1"/>
    <w:rsid w:val="00821A74"/>
    <w:rsid w:val="00821F4F"/>
    <w:rsid w:val="00823B7F"/>
    <w:rsid w:val="00823FA8"/>
    <w:rsid w:val="008243CB"/>
    <w:rsid w:val="008247F6"/>
    <w:rsid w:val="00824E7F"/>
    <w:rsid w:val="008256CE"/>
    <w:rsid w:val="0082744C"/>
    <w:rsid w:val="00830248"/>
    <w:rsid w:val="00830F00"/>
    <w:rsid w:val="00831071"/>
    <w:rsid w:val="00831AE4"/>
    <w:rsid w:val="00831BFE"/>
    <w:rsid w:val="008330FF"/>
    <w:rsid w:val="00833950"/>
    <w:rsid w:val="00833D78"/>
    <w:rsid w:val="00834017"/>
    <w:rsid w:val="00834B0D"/>
    <w:rsid w:val="00834E82"/>
    <w:rsid w:val="00834EAD"/>
    <w:rsid w:val="00834F7A"/>
    <w:rsid w:val="00835D14"/>
    <w:rsid w:val="008368C5"/>
    <w:rsid w:val="00836E3B"/>
    <w:rsid w:val="0083757E"/>
    <w:rsid w:val="00837ACA"/>
    <w:rsid w:val="00840856"/>
    <w:rsid w:val="00840EE6"/>
    <w:rsid w:val="00840FB7"/>
    <w:rsid w:val="008422C5"/>
    <w:rsid w:val="00842F7D"/>
    <w:rsid w:val="00843F10"/>
    <w:rsid w:val="00844F46"/>
    <w:rsid w:val="008458B2"/>
    <w:rsid w:val="008458FA"/>
    <w:rsid w:val="00846537"/>
    <w:rsid w:val="0084655B"/>
    <w:rsid w:val="0084706E"/>
    <w:rsid w:val="008475EF"/>
    <w:rsid w:val="00847AB7"/>
    <w:rsid w:val="00850539"/>
    <w:rsid w:val="00850DE7"/>
    <w:rsid w:val="00852054"/>
    <w:rsid w:val="0085277B"/>
    <w:rsid w:val="00852C82"/>
    <w:rsid w:val="00852CA2"/>
    <w:rsid w:val="00853C1D"/>
    <w:rsid w:val="00853FC0"/>
    <w:rsid w:val="0085531C"/>
    <w:rsid w:val="008601C7"/>
    <w:rsid w:val="00860AF6"/>
    <w:rsid w:val="00861145"/>
    <w:rsid w:val="008615D3"/>
    <w:rsid w:val="00861976"/>
    <w:rsid w:val="00861A11"/>
    <w:rsid w:val="00862044"/>
    <w:rsid w:val="008633E5"/>
    <w:rsid w:val="00866929"/>
    <w:rsid w:val="00866F7C"/>
    <w:rsid w:val="0087031B"/>
    <w:rsid w:val="00870487"/>
    <w:rsid w:val="008710FC"/>
    <w:rsid w:val="008722BB"/>
    <w:rsid w:val="008724E7"/>
    <w:rsid w:val="00872BBB"/>
    <w:rsid w:val="00873008"/>
    <w:rsid w:val="008736E2"/>
    <w:rsid w:val="00873C1D"/>
    <w:rsid w:val="00874BB6"/>
    <w:rsid w:val="0088006D"/>
    <w:rsid w:val="008806F8"/>
    <w:rsid w:val="00880B95"/>
    <w:rsid w:val="00881F16"/>
    <w:rsid w:val="00882DAE"/>
    <w:rsid w:val="00882E6A"/>
    <w:rsid w:val="00882F27"/>
    <w:rsid w:val="008833C0"/>
    <w:rsid w:val="00883CDB"/>
    <w:rsid w:val="00883E74"/>
    <w:rsid w:val="00884CDE"/>
    <w:rsid w:val="00884DB0"/>
    <w:rsid w:val="00885120"/>
    <w:rsid w:val="00885973"/>
    <w:rsid w:val="00885F86"/>
    <w:rsid w:val="00886414"/>
    <w:rsid w:val="00887058"/>
    <w:rsid w:val="00887DAB"/>
    <w:rsid w:val="00890ABD"/>
    <w:rsid w:val="0089170A"/>
    <w:rsid w:val="00891F18"/>
    <w:rsid w:val="008939B1"/>
    <w:rsid w:val="00896347"/>
    <w:rsid w:val="00896E48"/>
    <w:rsid w:val="00896FD4"/>
    <w:rsid w:val="00897233"/>
    <w:rsid w:val="008A1DB8"/>
    <w:rsid w:val="008A2C2F"/>
    <w:rsid w:val="008A2F5F"/>
    <w:rsid w:val="008A2FC9"/>
    <w:rsid w:val="008A46D3"/>
    <w:rsid w:val="008A4C11"/>
    <w:rsid w:val="008A550B"/>
    <w:rsid w:val="008A5C82"/>
    <w:rsid w:val="008A628F"/>
    <w:rsid w:val="008A62F9"/>
    <w:rsid w:val="008A7433"/>
    <w:rsid w:val="008B02F1"/>
    <w:rsid w:val="008B0C09"/>
    <w:rsid w:val="008B0E0D"/>
    <w:rsid w:val="008B1042"/>
    <w:rsid w:val="008B18E5"/>
    <w:rsid w:val="008B1E2C"/>
    <w:rsid w:val="008B250F"/>
    <w:rsid w:val="008B2E27"/>
    <w:rsid w:val="008B3512"/>
    <w:rsid w:val="008B3A4C"/>
    <w:rsid w:val="008B3FD4"/>
    <w:rsid w:val="008B4B9E"/>
    <w:rsid w:val="008B4FF6"/>
    <w:rsid w:val="008B5072"/>
    <w:rsid w:val="008B522F"/>
    <w:rsid w:val="008B62D2"/>
    <w:rsid w:val="008C1665"/>
    <w:rsid w:val="008C21D8"/>
    <w:rsid w:val="008C300A"/>
    <w:rsid w:val="008C3481"/>
    <w:rsid w:val="008C3CDC"/>
    <w:rsid w:val="008C4F0D"/>
    <w:rsid w:val="008C5790"/>
    <w:rsid w:val="008C6A23"/>
    <w:rsid w:val="008C6D78"/>
    <w:rsid w:val="008C6E18"/>
    <w:rsid w:val="008D012C"/>
    <w:rsid w:val="008D04AC"/>
    <w:rsid w:val="008D18F1"/>
    <w:rsid w:val="008D214E"/>
    <w:rsid w:val="008D2873"/>
    <w:rsid w:val="008D2935"/>
    <w:rsid w:val="008D3E34"/>
    <w:rsid w:val="008D3FF3"/>
    <w:rsid w:val="008D49C8"/>
    <w:rsid w:val="008D4DF2"/>
    <w:rsid w:val="008D6B20"/>
    <w:rsid w:val="008D73BE"/>
    <w:rsid w:val="008D753E"/>
    <w:rsid w:val="008D7CB3"/>
    <w:rsid w:val="008E0B94"/>
    <w:rsid w:val="008E0D29"/>
    <w:rsid w:val="008E11E7"/>
    <w:rsid w:val="008E1AAE"/>
    <w:rsid w:val="008E262C"/>
    <w:rsid w:val="008E369B"/>
    <w:rsid w:val="008E3F34"/>
    <w:rsid w:val="008E640C"/>
    <w:rsid w:val="008E7420"/>
    <w:rsid w:val="008E79F3"/>
    <w:rsid w:val="008F04C6"/>
    <w:rsid w:val="008F051F"/>
    <w:rsid w:val="008F07FF"/>
    <w:rsid w:val="008F1677"/>
    <w:rsid w:val="008F27AB"/>
    <w:rsid w:val="008F29A7"/>
    <w:rsid w:val="008F4E26"/>
    <w:rsid w:val="008F5EEE"/>
    <w:rsid w:val="008F6DCE"/>
    <w:rsid w:val="008F7B2F"/>
    <w:rsid w:val="00901D91"/>
    <w:rsid w:val="0090273F"/>
    <w:rsid w:val="00902D23"/>
    <w:rsid w:val="0090496E"/>
    <w:rsid w:val="00904EC5"/>
    <w:rsid w:val="0090722F"/>
    <w:rsid w:val="00907AC7"/>
    <w:rsid w:val="00907FA6"/>
    <w:rsid w:val="00911088"/>
    <w:rsid w:val="00911170"/>
    <w:rsid w:val="009150E5"/>
    <w:rsid w:val="00915479"/>
    <w:rsid w:val="00915556"/>
    <w:rsid w:val="0091583A"/>
    <w:rsid w:val="00915987"/>
    <w:rsid w:val="00915F3F"/>
    <w:rsid w:val="009161D8"/>
    <w:rsid w:val="0091625D"/>
    <w:rsid w:val="00916BE7"/>
    <w:rsid w:val="009175AE"/>
    <w:rsid w:val="009202CB"/>
    <w:rsid w:val="00920473"/>
    <w:rsid w:val="00922BF1"/>
    <w:rsid w:val="00922E9D"/>
    <w:rsid w:val="0092317B"/>
    <w:rsid w:val="009231A2"/>
    <w:rsid w:val="00923B66"/>
    <w:rsid w:val="00923ED9"/>
    <w:rsid w:val="00924AB8"/>
    <w:rsid w:val="009253F1"/>
    <w:rsid w:val="009259FF"/>
    <w:rsid w:val="00927E4D"/>
    <w:rsid w:val="0093063E"/>
    <w:rsid w:val="00930AE5"/>
    <w:rsid w:val="009313C9"/>
    <w:rsid w:val="0093262F"/>
    <w:rsid w:val="00933384"/>
    <w:rsid w:val="00933732"/>
    <w:rsid w:val="009356DB"/>
    <w:rsid w:val="00940BC0"/>
    <w:rsid w:val="00940E8C"/>
    <w:rsid w:val="00941E37"/>
    <w:rsid w:val="009437F6"/>
    <w:rsid w:val="009440F7"/>
    <w:rsid w:val="009452EF"/>
    <w:rsid w:val="00945313"/>
    <w:rsid w:val="009464F7"/>
    <w:rsid w:val="009469DB"/>
    <w:rsid w:val="00947F2F"/>
    <w:rsid w:val="00950643"/>
    <w:rsid w:val="0095066C"/>
    <w:rsid w:val="00950E95"/>
    <w:rsid w:val="00950EE8"/>
    <w:rsid w:val="009512BF"/>
    <w:rsid w:val="00951CEC"/>
    <w:rsid w:val="00951D80"/>
    <w:rsid w:val="00952782"/>
    <w:rsid w:val="009556E9"/>
    <w:rsid w:val="00955E43"/>
    <w:rsid w:val="00956288"/>
    <w:rsid w:val="00956700"/>
    <w:rsid w:val="009572BE"/>
    <w:rsid w:val="00957336"/>
    <w:rsid w:val="009618BE"/>
    <w:rsid w:val="00961DE0"/>
    <w:rsid w:val="00962E0D"/>
    <w:rsid w:val="00963367"/>
    <w:rsid w:val="009635D3"/>
    <w:rsid w:val="0096475D"/>
    <w:rsid w:val="00965655"/>
    <w:rsid w:val="0096581E"/>
    <w:rsid w:val="009658C2"/>
    <w:rsid w:val="00965DD6"/>
    <w:rsid w:val="009677F2"/>
    <w:rsid w:val="009708AA"/>
    <w:rsid w:val="009710CF"/>
    <w:rsid w:val="00971224"/>
    <w:rsid w:val="00971380"/>
    <w:rsid w:val="00971488"/>
    <w:rsid w:val="00971B46"/>
    <w:rsid w:val="009739F1"/>
    <w:rsid w:val="0097540A"/>
    <w:rsid w:val="009756A2"/>
    <w:rsid w:val="00975922"/>
    <w:rsid w:val="00976D6B"/>
    <w:rsid w:val="0098003A"/>
    <w:rsid w:val="00982218"/>
    <w:rsid w:val="00982F5D"/>
    <w:rsid w:val="00983059"/>
    <w:rsid w:val="00983969"/>
    <w:rsid w:val="00983EB3"/>
    <w:rsid w:val="009843FC"/>
    <w:rsid w:val="00986B0D"/>
    <w:rsid w:val="00987B8D"/>
    <w:rsid w:val="00987E90"/>
    <w:rsid w:val="00987EBE"/>
    <w:rsid w:val="00990158"/>
    <w:rsid w:val="00990570"/>
    <w:rsid w:val="0099106C"/>
    <w:rsid w:val="009919AB"/>
    <w:rsid w:val="00991E72"/>
    <w:rsid w:val="009928D2"/>
    <w:rsid w:val="00993CEB"/>
    <w:rsid w:val="00993FF5"/>
    <w:rsid w:val="00995023"/>
    <w:rsid w:val="0099512E"/>
    <w:rsid w:val="00995ACF"/>
    <w:rsid w:val="00995DC6"/>
    <w:rsid w:val="009A09B2"/>
    <w:rsid w:val="009A0B55"/>
    <w:rsid w:val="009A2001"/>
    <w:rsid w:val="009A2229"/>
    <w:rsid w:val="009A2E26"/>
    <w:rsid w:val="009A3A65"/>
    <w:rsid w:val="009A3C25"/>
    <w:rsid w:val="009A4680"/>
    <w:rsid w:val="009A5661"/>
    <w:rsid w:val="009A6512"/>
    <w:rsid w:val="009A69EF"/>
    <w:rsid w:val="009A6BD3"/>
    <w:rsid w:val="009A7360"/>
    <w:rsid w:val="009A750E"/>
    <w:rsid w:val="009A78C0"/>
    <w:rsid w:val="009A794F"/>
    <w:rsid w:val="009A7E88"/>
    <w:rsid w:val="009B0129"/>
    <w:rsid w:val="009B0537"/>
    <w:rsid w:val="009B09DD"/>
    <w:rsid w:val="009B127E"/>
    <w:rsid w:val="009B1567"/>
    <w:rsid w:val="009B1E44"/>
    <w:rsid w:val="009B24FE"/>
    <w:rsid w:val="009B3D2F"/>
    <w:rsid w:val="009B5C59"/>
    <w:rsid w:val="009B7F12"/>
    <w:rsid w:val="009C036C"/>
    <w:rsid w:val="009C0761"/>
    <w:rsid w:val="009C1470"/>
    <w:rsid w:val="009C2367"/>
    <w:rsid w:val="009C2892"/>
    <w:rsid w:val="009C2AB9"/>
    <w:rsid w:val="009C43EF"/>
    <w:rsid w:val="009C462E"/>
    <w:rsid w:val="009C4A26"/>
    <w:rsid w:val="009C4A99"/>
    <w:rsid w:val="009C5264"/>
    <w:rsid w:val="009C5C9D"/>
    <w:rsid w:val="009C6E9B"/>
    <w:rsid w:val="009D06AF"/>
    <w:rsid w:val="009D0B9D"/>
    <w:rsid w:val="009D0CA9"/>
    <w:rsid w:val="009D0EA7"/>
    <w:rsid w:val="009D10CF"/>
    <w:rsid w:val="009D2950"/>
    <w:rsid w:val="009D29CD"/>
    <w:rsid w:val="009D321B"/>
    <w:rsid w:val="009D3440"/>
    <w:rsid w:val="009D3476"/>
    <w:rsid w:val="009D361B"/>
    <w:rsid w:val="009D3711"/>
    <w:rsid w:val="009D3B37"/>
    <w:rsid w:val="009D3DFD"/>
    <w:rsid w:val="009D3EB7"/>
    <w:rsid w:val="009D4B16"/>
    <w:rsid w:val="009D688F"/>
    <w:rsid w:val="009D7021"/>
    <w:rsid w:val="009D7B09"/>
    <w:rsid w:val="009E1335"/>
    <w:rsid w:val="009E18B8"/>
    <w:rsid w:val="009E1E18"/>
    <w:rsid w:val="009E3044"/>
    <w:rsid w:val="009E36C0"/>
    <w:rsid w:val="009E42F1"/>
    <w:rsid w:val="009E572A"/>
    <w:rsid w:val="009E5EDA"/>
    <w:rsid w:val="009E66BD"/>
    <w:rsid w:val="009E6AF0"/>
    <w:rsid w:val="009E77E9"/>
    <w:rsid w:val="009E7F27"/>
    <w:rsid w:val="009F0E7D"/>
    <w:rsid w:val="009F135F"/>
    <w:rsid w:val="009F2483"/>
    <w:rsid w:val="009F4325"/>
    <w:rsid w:val="009F4A6F"/>
    <w:rsid w:val="009F60DD"/>
    <w:rsid w:val="009F6F3A"/>
    <w:rsid w:val="009F7B9B"/>
    <w:rsid w:val="00A00778"/>
    <w:rsid w:val="00A027EF"/>
    <w:rsid w:val="00A03376"/>
    <w:rsid w:val="00A049BF"/>
    <w:rsid w:val="00A04FCE"/>
    <w:rsid w:val="00A05927"/>
    <w:rsid w:val="00A05D3B"/>
    <w:rsid w:val="00A07BC8"/>
    <w:rsid w:val="00A07D9B"/>
    <w:rsid w:val="00A11091"/>
    <w:rsid w:val="00A11685"/>
    <w:rsid w:val="00A13FE8"/>
    <w:rsid w:val="00A1489B"/>
    <w:rsid w:val="00A14927"/>
    <w:rsid w:val="00A15AFC"/>
    <w:rsid w:val="00A171CA"/>
    <w:rsid w:val="00A174CC"/>
    <w:rsid w:val="00A1758D"/>
    <w:rsid w:val="00A17DAC"/>
    <w:rsid w:val="00A2055E"/>
    <w:rsid w:val="00A215A7"/>
    <w:rsid w:val="00A21CF2"/>
    <w:rsid w:val="00A21DCD"/>
    <w:rsid w:val="00A2264A"/>
    <w:rsid w:val="00A22835"/>
    <w:rsid w:val="00A2411F"/>
    <w:rsid w:val="00A25A01"/>
    <w:rsid w:val="00A260F7"/>
    <w:rsid w:val="00A26919"/>
    <w:rsid w:val="00A27C17"/>
    <w:rsid w:val="00A27E8C"/>
    <w:rsid w:val="00A27F70"/>
    <w:rsid w:val="00A30C68"/>
    <w:rsid w:val="00A30D99"/>
    <w:rsid w:val="00A31549"/>
    <w:rsid w:val="00A3169B"/>
    <w:rsid w:val="00A31EE3"/>
    <w:rsid w:val="00A33404"/>
    <w:rsid w:val="00A338C4"/>
    <w:rsid w:val="00A3391F"/>
    <w:rsid w:val="00A34682"/>
    <w:rsid w:val="00A35185"/>
    <w:rsid w:val="00A360D0"/>
    <w:rsid w:val="00A36155"/>
    <w:rsid w:val="00A37963"/>
    <w:rsid w:val="00A403E3"/>
    <w:rsid w:val="00A40C21"/>
    <w:rsid w:val="00A41752"/>
    <w:rsid w:val="00A4260C"/>
    <w:rsid w:val="00A42746"/>
    <w:rsid w:val="00A44FC4"/>
    <w:rsid w:val="00A465EC"/>
    <w:rsid w:val="00A46B3C"/>
    <w:rsid w:val="00A470A8"/>
    <w:rsid w:val="00A5060F"/>
    <w:rsid w:val="00A50ECD"/>
    <w:rsid w:val="00A5499C"/>
    <w:rsid w:val="00A55742"/>
    <w:rsid w:val="00A55E12"/>
    <w:rsid w:val="00A56C3A"/>
    <w:rsid w:val="00A57FFB"/>
    <w:rsid w:val="00A6004F"/>
    <w:rsid w:val="00A60AD3"/>
    <w:rsid w:val="00A61778"/>
    <w:rsid w:val="00A61F1D"/>
    <w:rsid w:val="00A6242C"/>
    <w:rsid w:val="00A630BB"/>
    <w:rsid w:val="00A63127"/>
    <w:rsid w:val="00A631C6"/>
    <w:rsid w:val="00A6485A"/>
    <w:rsid w:val="00A649FD"/>
    <w:rsid w:val="00A65681"/>
    <w:rsid w:val="00A65988"/>
    <w:rsid w:val="00A65C42"/>
    <w:rsid w:val="00A65FF3"/>
    <w:rsid w:val="00A66456"/>
    <w:rsid w:val="00A6753D"/>
    <w:rsid w:val="00A70079"/>
    <w:rsid w:val="00A704C9"/>
    <w:rsid w:val="00A704DE"/>
    <w:rsid w:val="00A729C9"/>
    <w:rsid w:val="00A73447"/>
    <w:rsid w:val="00A73678"/>
    <w:rsid w:val="00A748EC"/>
    <w:rsid w:val="00A749D0"/>
    <w:rsid w:val="00A74D3E"/>
    <w:rsid w:val="00A75471"/>
    <w:rsid w:val="00A75F2A"/>
    <w:rsid w:val="00A762D3"/>
    <w:rsid w:val="00A766F1"/>
    <w:rsid w:val="00A767DB"/>
    <w:rsid w:val="00A80E74"/>
    <w:rsid w:val="00A8106E"/>
    <w:rsid w:val="00A81CBA"/>
    <w:rsid w:val="00A824B0"/>
    <w:rsid w:val="00A82853"/>
    <w:rsid w:val="00A82936"/>
    <w:rsid w:val="00A82AEB"/>
    <w:rsid w:val="00A850B3"/>
    <w:rsid w:val="00A86457"/>
    <w:rsid w:val="00A865B7"/>
    <w:rsid w:val="00A869F8"/>
    <w:rsid w:val="00A910FD"/>
    <w:rsid w:val="00A91196"/>
    <w:rsid w:val="00A9176F"/>
    <w:rsid w:val="00A91AD2"/>
    <w:rsid w:val="00A9225A"/>
    <w:rsid w:val="00A939F4"/>
    <w:rsid w:val="00A93AEC"/>
    <w:rsid w:val="00A94340"/>
    <w:rsid w:val="00A94385"/>
    <w:rsid w:val="00A944E2"/>
    <w:rsid w:val="00A94AAC"/>
    <w:rsid w:val="00A94ABE"/>
    <w:rsid w:val="00A9502D"/>
    <w:rsid w:val="00A9589C"/>
    <w:rsid w:val="00A95E1A"/>
    <w:rsid w:val="00A97AA6"/>
    <w:rsid w:val="00A97BC6"/>
    <w:rsid w:val="00AA01C6"/>
    <w:rsid w:val="00AA0FDF"/>
    <w:rsid w:val="00AA12C3"/>
    <w:rsid w:val="00AA1F45"/>
    <w:rsid w:val="00AA2A76"/>
    <w:rsid w:val="00AA34F8"/>
    <w:rsid w:val="00AA4523"/>
    <w:rsid w:val="00AA59E1"/>
    <w:rsid w:val="00AA60E6"/>
    <w:rsid w:val="00AA7463"/>
    <w:rsid w:val="00AB035A"/>
    <w:rsid w:val="00AB0EAD"/>
    <w:rsid w:val="00AB1527"/>
    <w:rsid w:val="00AB2F9D"/>
    <w:rsid w:val="00AB3283"/>
    <w:rsid w:val="00AB3DE0"/>
    <w:rsid w:val="00AB57C2"/>
    <w:rsid w:val="00AB6DC6"/>
    <w:rsid w:val="00AB7498"/>
    <w:rsid w:val="00AB7DBC"/>
    <w:rsid w:val="00AC14B4"/>
    <w:rsid w:val="00AC1896"/>
    <w:rsid w:val="00AC2E43"/>
    <w:rsid w:val="00AC31BC"/>
    <w:rsid w:val="00AC34A5"/>
    <w:rsid w:val="00AC3596"/>
    <w:rsid w:val="00AC384C"/>
    <w:rsid w:val="00AC408E"/>
    <w:rsid w:val="00AC542A"/>
    <w:rsid w:val="00AC5A45"/>
    <w:rsid w:val="00AC5C8D"/>
    <w:rsid w:val="00AC7873"/>
    <w:rsid w:val="00AD2CEB"/>
    <w:rsid w:val="00AD3237"/>
    <w:rsid w:val="00AD45C2"/>
    <w:rsid w:val="00AD45CD"/>
    <w:rsid w:val="00AD4B7A"/>
    <w:rsid w:val="00AD5546"/>
    <w:rsid w:val="00AD610F"/>
    <w:rsid w:val="00AD6660"/>
    <w:rsid w:val="00AD73CB"/>
    <w:rsid w:val="00AD749E"/>
    <w:rsid w:val="00AE1391"/>
    <w:rsid w:val="00AE14BB"/>
    <w:rsid w:val="00AE17B0"/>
    <w:rsid w:val="00AE1B5E"/>
    <w:rsid w:val="00AE2BA0"/>
    <w:rsid w:val="00AE2E45"/>
    <w:rsid w:val="00AE301B"/>
    <w:rsid w:val="00AE4605"/>
    <w:rsid w:val="00AE5D53"/>
    <w:rsid w:val="00AE66B2"/>
    <w:rsid w:val="00AE71B3"/>
    <w:rsid w:val="00AE76B0"/>
    <w:rsid w:val="00AE79EE"/>
    <w:rsid w:val="00AF0056"/>
    <w:rsid w:val="00AF2526"/>
    <w:rsid w:val="00AF4CB9"/>
    <w:rsid w:val="00AF5202"/>
    <w:rsid w:val="00AF68D7"/>
    <w:rsid w:val="00AF7EBE"/>
    <w:rsid w:val="00B00694"/>
    <w:rsid w:val="00B0084B"/>
    <w:rsid w:val="00B0141D"/>
    <w:rsid w:val="00B020D8"/>
    <w:rsid w:val="00B027BD"/>
    <w:rsid w:val="00B02F28"/>
    <w:rsid w:val="00B05147"/>
    <w:rsid w:val="00B066E8"/>
    <w:rsid w:val="00B07CE7"/>
    <w:rsid w:val="00B10F58"/>
    <w:rsid w:val="00B11F14"/>
    <w:rsid w:val="00B12608"/>
    <w:rsid w:val="00B126C9"/>
    <w:rsid w:val="00B158FE"/>
    <w:rsid w:val="00B1620A"/>
    <w:rsid w:val="00B1671C"/>
    <w:rsid w:val="00B1721E"/>
    <w:rsid w:val="00B204DE"/>
    <w:rsid w:val="00B215DD"/>
    <w:rsid w:val="00B22520"/>
    <w:rsid w:val="00B22743"/>
    <w:rsid w:val="00B22923"/>
    <w:rsid w:val="00B244E9"/>
    <w:rsid w:val="00B24AC5"/>
    <w:rsid w:val="00B2552E"/>
    <w:rsid w:val="00B268A1"/>
    <w:rsid w:val="00B2790C"/>
    <w:rsid w:val="00B27B87"/>
    <w:rsid w:val="00B30937"/>
    <w:rsid w:val="00B30B34"/>
    <w:rsid w:val="00B3165F"/>
    <w:rsid w:val="00B316CB"/>
    <w:rsid w:val="00B32318"/>
    <w:rsid w:val="00B33143"/>
    <w:rsid w:val="00B33245"/>
    <w:rsid w:val="00B3334F"/>
    <w:rsid w:val="00B333B2"/>
    <w:rsid w:val="00B33CE7"/>
    <w:rsid w:val="00B33DA8"/>
    <w:rsid w:val="00B3507F"/>
    <w:rsid w:val="00B351CD"/>
    <w:rsid w:val="00B35979"/>
    <w:rsid w:val="00B37128"/>
    <w:rsid w:val="00B4001D"/>
    <w:rsid w:val="00B41030"/>
    <w:rsid w:val="00B4143D"/>
    <w:rsid w:val="00B41A1D"/>
    <w:rsid w:val="00B42179"/>
    <w:rsid w:val="00B427AB"/>
    <w:rsid w:val="00B429C6"/>
    <w:rsid w:val="00B42FF1"/>
    <w:rsid w:val="00B436FF"/>
    <w:rsid w:val="00B43DBB"/>
    <w:rsid w:val="00B43E22"/>
    <w:rsid w:val="00B4458A"/>
    <w:rsid w:val="00B445D4"/>
    <w:rsid w:val="00B452D0"/>
    <w:rsid w:val="00B46754"/>
    <w:rsid w:val="00B468E9"/>
    <w:rsid w:val="00B47F3F"/>
    <w:rsid w:val="00B501A0"/>
    <w:rsid w:val="00B50DDE"/>
    <w:rsid w:val="00B519BA"/>
    <w:rsid w:val="00B52862"/>
    <w:rsid w:val="00B5299D"/>
    <w:rsid w:val="00B5332E"/>
    <w:rsid w:val="00B54FB5"/>
    <w:rsid w:val="00B57331"/>
    <w:rsid w:val="00B60EF4"/>
    <w:rsid w:val="00B61438"/>
    <w:rsid w:val="00B62096"/>
    <w:rsid w:val="00B62631"/>
    <w:rsid w:val="00B63887"/>
    <w:rsid w:val="00B63944"/>
    <w:rsid w:val="00B65558"/>
    <w:rsid w:val="00B65CE7"/>
    <w:rsid w:val="00B65FC0"/>
    <w:rsid w:val="00B6644E"/>
    <w:rsid w:val="00B6753D"/>
    <w:rsid w:val="00B67E3B"/>
    <w:rsid w:val="00B7118D"/>
    <w:rsid w:val="00B71A76"/>
    <w:rsid w:val="00B723B0"/>
    <w:rsid w:val="00B7277A"/>
    <w:rsid w:val="00B72BBF"/>
    <w:rsid w:val="00B7318A"/>
    <w:rsid w:val="00B73AFD"/>
    <w:rsid w:val="00B73EFA"/>
    <w:rsid w:val="00B75FE1"/>
    <w:rsid w:val="00B80B88"/>
    <w:rsid w:val="00B80D36"/>
    <w:rsid w:val="00B828B5"/>
    <w:rsid w:val="00B82FE0"/>
    <w:rsid w:val="00B84291"/>
    <w:rsid w:val="00B84418"/>
    <w:rsid w:val="00B84C10"/>
    <w:rsid w:val="00B8575F"/>
    <w:rsid w:val="00B925F1"/>
    <w:rsid w:val="00B92FE8"/>
    <w:rsid w:val="00B93D7C"/>
    <w:rsid w:val="00B9431B"/>
    <w:rsid w:val="00B94DF5"/>
    <w:rsid w:val="00B9577B"/>
    <w:rsid w:val="00B95C47"/>
    <w:rsid w:val="00B96410"/>
    <w:rsid w:val="00B966F9"/>
    <w:rsid w:val="00B967B3"/>
    <w:rsid w:val="00B96ED2"/>
    <w:rsid w:val="00B97B23"/>
    <w:rsid w:val="00BA2634"/>
    <w:rsid w:val="00BA2826"/>
    <w:rsid w:val="00BA304E"/>
    <w:rsid w:val="00BA340E"/>
    <w:rsid w:val="00BA38DA"/>
    <w:rsid w:val="00BA43AD"/>
    <w:rsid w:val="00BA5B03"/>
    <w:rsid w:val="00BA6584"/>
    <w:rsid w:val="00BA6E4B"/>
    <w:rsid w:val="00BA71EF"/>
    <w:rsid w:val="00BA7E7A"/>
    <w:rsid w:val="00BB0A69"/>
    <w:rsid w:val="00BB103F"/>
    <w:rsid w:val="00BB365B"/>
    <w:rsid w:val="00BB3B8E"/>
    <w:rsid w:val="00BB3E71"/>
    <w:rsid w:val="00BB46C5"/>
    <w:rsid w:val="00BB5E14"/>
    <w:rsid w:val="00BB6643"/>
    <w:rsid w:val="00BB685E"/>
    <w:rsid w:val="00BB71B5"/>
    <w:rsid w:val="00BB743D"/>
    <w:rsid w:val="00BC0804"/>
    <w:rsid w:val="00BC0F9F"/>
    <w:rsid w:val="00BC19F9"/>
    <w:rsid w:val="00BC2B5C"/>
    <w:rsid w:val="00BC444E"/>
    <w:rsid w:val="00BC46AD"/>
    <w:rsid w:val="00BC6EFF"/>
    <w:rsid w:val="00BC725A"/>
    <w:rsid w:val="00BC7473"/>
    <w:rsid w:val="00BD1453"/>
    <w:rsid w:val="00BD32FB"/>
    <w:rsid w:val="00BD3653"/>
    <w:rsid w:val="00BD44C5"/>
    <w:rsid w:val="00BD5143"/>
    <w:rsid w:val="00BD58D6"/>
    <w:rsid w:val="00BD6C6E"/>
    <w:rsid w:val="00BE0453"/>
    <w:rsid w:val="00BE21F1"/>
    <w:rsid w:val="00BE2C62"/>
    <w:rsid w:val="00BE3100"/>
    <w:rsid w:val="00BE3F60"/>
    <w:rsid w:val="00BE6A70"/>
    <w:rsid w:val="00BE7751"/>
    <w:rsid w:val="00BE7A6F"/>
    <w:rsid w:val="00BF139E"/>
    <w:rsid w:val="00BF1A35"/>
    <w:rsid w:val="00BF2E99"/>
    <w:rsid w:val="00BF2EA1"/>
    <w:rsid w:val="00BF2FF9"/>
    <w:rsid w:val="00BF3C89"/>
    <w:rsid w:val="00BF3D78"/>
    <w:rsid w:val="00BF45AC"/>
    <w:rsid w:val="00BF48E1"/>
    <w:rsid w:val="00BF4EE0"/>
    <w:rsid w:val="00BF52BA"/>
    <w:rsid w:val="00BF6170"/>
    <w:rsid w:val="00BF72AA"/>
    <w:rsid w:val="00C002D3"/>
    <w:rsid w:val="00C002E7"/>
    <w:rsid w:val="00C01005"/>
    <w:rsid w:val="00C020B4"/>
    <w:rsid w:val="00C0359A"/>
    <w:rsid w:val="00C035F8"/>
    <w:rsid w:val="00C040F8"/>
    <w:rsid w:val="00C04703"/>
    <w:rsid w:val="00C051C5"/>
    <w:rsid w:val="00C05BE6"/>
    <w:rsid w:val="00C06467"/>
    <w:rsid w:val="00C06D2F"/>
    <w:rsid w:val="00C07EBD"/>
    <w:rsid w:val="00C10F54"/>
    <w:rsid w:val="00C12BA9"/>
    <w:rsid w:val="00C13440"/>
    <w:rsid w:val="00C13AF4"/>
    <w:rsid w:val="00C13CAE"/>
    <w:rsid w:val="00C14ED8"/>
    <w:rsid w:val="00C15585"/>
    <w:rsid w:val="00C16F17"/>
    <w:rsid w:val="00C174EE"/>
    <w:rsid w:val="00C1792C"/>
    <w:rsid w:val="00C17C32"/>
    <w:rsid w:val="00C204D7"/>
    <w:rsid w:val="00C21D6B"/>
    <w:rsid w:val="00C21E95"/>
    <w:rsid w:val="00C2448D"/>
    <w:rsid w:val="00C24744"/>
    <w:rsid w:val="00C2524E"/>
    <w:rsid w:val="00C25D88"/>
    <w:rsid w:val="00C2646A"/>
    <w:rsid w:val="00C26771"/>
    <w:rsid w:val="00C26B83"/>
    <w:rsid w:val="00C27700"/>
    <w:rsid w:val="00C302E2"/>
    <w:rsid w:val="00C3043E"/>
    <w:rsid w:val="00C30B11"/>
    <w:rsid w:val="00C30D29"/>
    <w:rsid w:val="00C30FB2"/>
    <w:rsid w:val="00C31B0D"/>
    <w:rsid w:val="00C3293C"/>
    <w:rsid w:val="00C3298C"/>
    <w:rsid w:val="00C3300B"/>
    <w:rsid w:val="00C33E25"/>
    <w:rsid w:val="00C34FD2"/>
    <w:rsid w:val="00C358A6"/>
    <w:rsid w:val="00C362BB"/>
    <w:rsid w:val="00C364E1"/>
    <w:rsid w:val="00C36F0E"/>
    <w:rsid w:val="00C37308"/>
    <w:rsid w:val="00C406AD"/>
    <w:rsid w:val="00C4326F"/>
    <w:rsid w:val="00C43C38"/>
    <w:rsid w:val="00C4769A"/>
    <w:rsid w:val="00C504F4"/>
    <w:rsid w:val="00C52822"/>
    <w:rsid w:val="00C52B90"/>
    <w:rsid w:val="00C5351A"/>
    <w:rsid w:val="00C53533"/>
    <w:rsid w:val="00C54CF8"/>
    <w:rsid w:val="00C55367"/>
    <w:rsid w:val="00C554DC"/>
    <w:rsid w:val="00C56246"/>
    <w:rsid w:val="00C6157F"/>
    <w:rsid w:val="00C61AC3"/>
    <w:rsid w:val="00C633BA"/>
    <w:rsid w:val="00C64D80"/>
    <w:rsid w:val="00C64F1D"/>
    <w:rsid w:val="00C65FE9"/>
    <w:rsid w:val="00C73CEA"/>
    <w:rsid w:val="00C745B7"/>
    <w:rsid w:val="00C75F9C"/>
    <w:rsid w:val="00C76A23"/>
    <w:rsid w:val="00C76B0F"/>
    <w:rsid w:val="00C76F66"/>
    <w:rsid w:val="00C812CF"/>
    <w:rsid w:val="00C830E6"/>
    <w:rsid w:val="00C83A5F"/>
    <w:rsid w:val="00C83D6B"/>
    <w:rsid w:val="00C8449B"/>
    <w:rsid w:val="00C84C28"/>
    <w:rsid w:val="00C855E3"/>
    <w:rsid w:val="00C85AB7"/>
    <w:rsid w:val="00C86542"/>
    <w:rsid w:val="00C86B22"/>
    <w:rsid w:val="00C86BCC"/>
    <w:rsid w:val="00C87291"/>
    <w:rsid w:val="00C87B49"/>
    <w:rsid w:val="00C87B8E"/>
    <w:rsid w:val="00C90BA9"/>
    <w:rsid w:val="00C91A8E"/>
    <w:rsid w:val="00C91C50"/>
    <w:rsid w:val="00C931A3"/>
    <w:rsid w:val="00C956A3"/>
    <w:rsid w:val="00C95B02"/>
    <w:rsid w:val="00C95F60"/>
    <w:rsid w:val="00C96B77"/>
    <w:rsid w:val="00C96E4B"/>
    <w:rsid w:val="00C97800"/>
    <w:rsid w:val="00CA05BC"/>
    <w:rsid w:val="00CA1BAB"/>
    <w:rsid w:val="00CA1DD2"/>
    <w:rsid w:val="00CA2F71"/>
    <w:rsid w:val="00CA35AB"/>
    <w:rsid w:val="00CA3FFD"/>
    <w:rsid w:val="00CA4C5D"/>
    <w:rsid w:val="00CA56F4"/>
    <w:rsid w:val="00CA6A94"/>
    <w:rsid w:val="00CA790E"/>
    <w:rsid w:val="00CB0632"/>
    <w:rsid w:val="00CB32B0"/>
    <w:rsid w:val="00CB3BC6"/>
    <w:rsid w:val="00CB4032"/>
    <w:rsid w:val="00CB4C1D"/>
    <w:rsid w:val="00CB5013"/>
    <w:rsid w:val="00CB519D"/>
    <w:rsid w:val="00CB697F"/>
    <w:rsid w:val="00CB7216"/>
    <w:rsid w:val="00CC0127"/>
    <w:rsid w:val="00CC1533"/>
    <w:rsid w:val="00CC19B7"/>
    <w:rsid w:val="00CC2148"/>
    <w:rsid w:val="00CC2392"/>
    <w:rsid w:val="00CC3936"/>
    <w:rsid w:val="00CC48F3"/>
    <w:rsid w:val="00CC52F5"/>
    <w:rsid w:val="00CC541B"/>
    <w:rsid w:val="00CC5B8C"/>
    <w:rsid w:val="00CC5DD5"/>
    <w:rsid w:val="00CC6BA5"/>
    <w:rsid w:val="00CD0833"/>
    <w:rsid w:val="00CD10C6"/>
    <w:rsid w:val="00CD1C2E"/>
    <w:rsid w:val="00CD3953"/>
    <w:rsid w:val="00CD4916"/>
    <w:rsid w:val="00CD4B6F"/>
    <w:rsid w:val="00CD5335"/>
    <w:rsid w:val="00CD59D8"/>
    <w:rsid w:val="00CD604B"/>
    <w:rsid w:val="00CD6853"/>
    <w:rsid w:val="00CE0B54"/>
    <w:rsid w:val="00CE12ED"/>
    <w:rsid w:val="00CE1578"/>
    <w:rsid w:val="00CE182E"/>
    <w:rsid w:val="00CE1911"/>
    <w:rsid w:val="00CE21FE"/>
    <w:rsid w:val="00CE2367"/>
    <w:rsid w:val="00CE2637"/>
    <w:rsid w:val="00CE27B2"/>
    <w:rsid w:val="00CE29CA"/>
    <w:rsid w:val="00CE4168"/>
    <w:rsid w:val="00CE46AF"/>
    <w:rsid w:val="00CE4D22"/>
    <w:rsid w:val="00CE4EF5"/>
    <w:rsid w:val="00CE569B"/>
    <w:rsid w:val="00CE5A89"/>
    <w:rsid w:val="00CE6AF2"/>
    <w:rsid w:val="00CE7901"/>
    <w:rsid w:val="00CF04F1"/>
    <w:rsid w:val="00CF08FD"/>
    <w:rsid w:val="00CF0915"/>
    <w:rsid w:val="00CF117A"/>
    <w:rsid w:val="00CF146F"/>
    <w:rsid w:val="00CF40B5"/>
    <w:rsid w:val="00CF4F9A"/>
    <w:rsid w:val="00CF4FE5"/>
    <w:rsid w:val="00CF54C9"/>
    <w:rsid w:val="00CF5507"/>
    <w:rsid w:val="00CF73B2"/>
    <w:rsid w:val="00CF743E"/>
    <w:rsid w:val="00CF74BB"/>
    <w:rsid w:val="00D00EE9"/>
    <w:rsid w:val="00D03323"/>
    <w:rsid w:val="00D03377"/>
    <w:rsid w:val="00D03E78"/>
    <w:rsid w:val="00D03E8C"/>
    <w:rsid w:val="00D04899"/>
    <w:rsid w:val="00D0547B"/>
    <w:rsid w:val="00D05584"/>
    <w:rsid w:val="00D055D7"/>
    <w:rsid w:val="00D05943"/>
    <w:rsid w:val="00D06136"/>
    <w:rsid w:val="00D0750E"/>
    <w:rsid w:val="00D077E5"/>
    <w:rsid w:val="00D10D27"/>
    <w:rsid w:val="00D11A8A"/>
    <w:rsid w:val="00D11BED"/>
    <w:rsid w:val="00D128F6"/>
    <w:rsid w:val="00D12FC8"/>
    <w:rsid w:val="00D1597B"/>
    <w:rsid w:val="00D15C7D"/>
    <w:rsid w:val="00D15FAF"/>
    <w:rsid w:val="00D160C9"/>
    <w:rsid w:val="00D16BA4"/>
    <w:rsid w:val="00D17580"/>
    <w:rsid w:val="00D20791"/>
    <w:rsid w:val="00D21073"/>
    <w:rsid w:val="00D211B4"/>
    <w:rsid w:val="00D21456"/>
    <w:rsid w:val="00D217EA"/>
    <w:rsid w:val="00D21E5D"/>
    <w:rsid w:val="00D2369D"/>
    <w:rsid w:val="00D240B1"/>
    <w:rsid w:val="00D24A78"/>
    <w:rsid w:val="00D24F52"/>
    <w:rsid w:val="00D255C4"/>
    <w:rsid w:val="00D25924"/>
    <w:rsid w:val="00D25DAF"/>
    <w:rsid w:val="00D31FF4"/>
    <w:rsid w:val="00D3248E"/>
    <w:rsid w:val="00D33D53"/>
    <w:rsid w:val="00D350EC"/>
    <w:rsid w:val="00D352FB"/>
    <w:rsid w:val="00D35927"/>
    <w:rsid w:val="00D40549"/>
    <w:rsid w:val="00D41314"/>
    <w:rsid w:val="00D41603"/>
    <w:rsid w:val="00D41D3D"/>
    <w:rsid w:val="00D42A82"/>
    <w:rsid w:val="00D4360C"/>
    <w:rsid w:val="00D43C24"/>
    <w:rsid w:val="00D44441"/>
    <w:rsid w:val="00D44B6D"/>
    <w:rsid w:val="00D44DBD"/>
    <w:rsid w:val="00D45945"/>
    <w:rsid w:val="00D46ED5"/>
    <w:rsid w:val="00D4766C"/>
    <w:rsid w:val="00D4781A"/>
    <w:rsid w:val="00D47ACF"/>
    <w:rsid w:val="00D47D93"/>
    <w:rsid w:val="00D47E59"/>
    <w:rsid w:val="00D52AEC"/>
    <w:rsid w:val="00D546EE"/>
    <w:rsid w:val="00D55717"/>
    <w:rsid w:val="00D56AAB"/>
    <w:rsid w:val="00D56C04"/>
    <w:rsid w:val="00D56EF0"/>
    <w:rsid w:val="00D6079A"/>
    <w:rsid w:val="00D610B8"/>
    <w:rsid w:val="00D6142C"/>
    <w:rsid w:val="00D61E8C"/>
    <w:rsid w:val="00D6246B"/>
    <w:rsid w:val="00D62B8E"/>
    <w:rsid w:val="00D633F0"/>
    <w:rsid w:val="00D63BBB"/>
    <w:rsid w:val="00D63CC7"/>
    <w:rsid w:val="00D648E9"/>
    <w:rsid w:val="00D67777"/>
    <w:rsid w:val="00D67CE2"/>
    <w:rsid w:val="00D7055C"/>
    <w:rsid w:val="00D70DA3"/>
    <w:rsid w:val="00D71F28"/>
    <w:rsid w:val="00D7214E"/>
    <w:rsid w:val="00D73105"/>
    <w:rsid w:val="00D73E85"/>
    <w:rsid w:val="00D747BD"/>
    <w:rsid w:val="00D74BFF"/>
    <w:rsid w:val="00D758BA"/>
    <w:rsid w:val="00D77F54"/>
    <w:rsid w:val="00D8475D"/>
    <w:rsid w:val="00D84FF6"/>
    <w:rsid w:val="00D86595"/>
    <w:rsid w:val="00D90328"/>
    <w:rsid w:val="00D905F5"/>
    <w:rsid w:val="00D912DC"/>
    <w:rsid w:val="00D91326"/>
    <w:rsid w:val="00D91793"/>
    <w:rsid w:val="00D92935"/>
    <w:rsid w:val="00D93182"/>
    <w:rsid w:val="00D9364B"/>
    <w:rsid w:val="00D938B3"/>
    <w:rsid w:val="00D96324"/>
    <w:rsid w:val="00D9721A"/>
    <w:rsid w:val="00DA0F47"/>
    <w:rsid w:val="00DA1B99"/>
    <w:rsid w:val="00DA24FA"/>
    <w:rsid w:val="00DA2956"/>
    <w:rsid w:val="00DA2B6A"/>
    <w:rsid w:val="00DA2B8B"/>
    <w:rsid w:val="00DA2E60"/>
    <w:rsid w:val="00DA36F6"/>
    <w:rsid w:val="00DA505D"/>
    <w:rsid w:val="00DA65F9"/>
    <w:rsid w:val="00DA7607"/>
    <w:rsid w:val="00DA7B4D"/>
    <w:rsid w:val="00DB0488"/>
    <w:rsid w:val="00DB1152"/>
    <w:rsid w:val="00DB1753"/>
    <w:rsid w:val="00DB3755"/>
    <w:rsid w:val="00DB609B"/>
    <w:rsid w:val="00DB63B3"/>
    <w:rsid w:val="00DB63F3"/>
    <w:rsid w:val="00DB6F86"/>
    <w:rsid w:val="00DB77F5"/>
    <w:rsid w:val="00DC08F2"/>
    <w:rsid w:val="00DC1928"/>
    <w:rsid w:val="00DC2353"/>
    <w:rsid w:val="00DC2BCF"/>
    <w:rsid w:val="00DC3316"/>
    <w:rsid w:val="00DC3391"/>
    <w:rsid w:val="00DC3BD2"/>
    <w:rsid w:val="00DC48B5"/>
    <w:rsid w:val="00DC5AE3"/>
    <w:rsid w:val="00DC68FC"/>
    <w:rsid w:val="00DD0E03"/>
    <w:rsid w:val="00DD18A7"/>
    <w:rsid w:val="00DD2147"/>
    <w:rsid w:val="00DD26C6"/>
    <w:rsid w:val="00DD2A27"/>
    <w:rsid w:val="00DD3200"/>
    <w:rsid w:val="00DD3F05"/>
    <w:rsid w:val="00DD4262"/>
    <w:rsid w:val="00DD4D8A"/>
    <w:rsid w:val="00DD5639"/>
    <w:rsid w:val="00DE08CC"/>
    <w:rsid w:val="00DE128A"/>
    <w:rsid w:val="00DE13AD"/>
    <w:rsid w:val="00DE5DB3"/>
    <w:rsid w:val="00DE664C"/>
    <w:rsid w:val="00DE6FF6"/>
    <w:rsid w:val="00DE7333"/>
    <w:rsid w:val="00DE73FB"/>
    <w:rsid w:val="00DE7C6E"/>
    <w:rsid w:val="00DF0631"/>
    <w:rsid w:val="00DF0836"/>
    <w:rsid w:val="00DF0917"/>
    <w:rsid w:val="00DF3510"/>
    <w:rsid w:val="00DF4C59"/>
    <w:rsid w:val="00DF5323"/>
    <w:rsid w:val="00DF5E22"/>
    <w:rsid w:val="00DF5EEF"/>
    <w:rsid w:val="00DF6197"/>
    <w:rsid w:val="00DF684B"/>
    <w:rsid w:val="00DF7246"/>
    <w:rsid w:val="00DF7F78"/>
    <w:rsid w:val="00E00533"/>
    <w:rsid w:val="00E006B9"/>
    <w:rsid w:val="00E00FE9"/>
    <w:rsid w:val="00E010F1"/>
    <w:rsid w:val="00E0245D"/>
    <w:rsid w:val="00E03053"/>
    <w:rsid w:val="00E03359"/>
    <w:rsid w:val="00E03D4F"/>
    <w:rsid w:val="00E0415C"/>
    <w:rsid w:val="00E06227"/>
    <w:rsid w:val="00E101D2"/>
    <w:rsid w:val="00E11DB1"/>
    <w:rsid w:val="00E1265A"/>
    <w:rsid w:val="00E12B6A"/>
    <w:rsid w:val="00E12DBE"/>
    <w:rsid w:val="00E13330"/>
    <w:rsid w:val="00E13929"/>
    <w:rsid w:val="00E13BBA"/>
    <w:rsid w:val="00E1459C"/>
    <w:rsid w:val="00E14B50"/>
    <w:rsid w:val="00E160F5"/>
    <w:rsid w:val="00E162CE"/>
    <w:rsid w:val="00E16367"/>
    <w:rsid w:val="00E169A1"/>
    <w:rsid w:val="00E17158"/>
    <w:rsid w:val="00E17BBB"/>
    <w:rsid w:val="00E21F51"/>
    <w:rsid w:val="00E2377A"/>
    <w:rsid w:val="00E237C3"/>
    <w:rsid w:val="00E2471F"/>
    <w:rsid w:val="00E2645B"/>
    <w:rsid w:val="00E2664F"/>
    <w:rsid w:val="00E26904"/>
    <w:rsid w:val="00E2698A"/>
    <w:rsid w:val="00E269EB"/>
    <w:rsid w:val="00E27104"/>
    <w:rsid w:val="00E306B0"/>
    <w:rsid w:val="00E30ACA"/>
    <w:rsid w:val="00E30EB7"/>
    <w:rsid w:val="00E35C0E"/>
    <w:rsid w:val="00E377F3"/>
    <w:rsid w:val="00E379BD"/>
    <w:rsid w:val="00E405F2"/>
    <w:rsid w:val="00E41407"/>
    <w:rsid w:val="00E4298C"/>
    <w:rsid w:val="00E42B56"/>
    <w:rsid w:val="00E455C8"/>
    <w:rsid w:val="00E45E6C"/>
    <w:rsid w:val="00E467D8"/>
    <w:rsid w:val="00E46C66"/>
    <w:rsid w:val="00E47954"/>
    <w:rsid w:val="00E47DC7"/>
    <w:rsid w:val="00E507D4"/>
    <w:rsid w:val="00E524A8"/>
    <w:rsid w:val="00E536D4"/>
    <w:rsid w:val="00E54308"/>
    <w:rsid w:val="00E54F0E"/>
    <w:rsid w:val="00E54FF2"/>
    <w:rsid w:val="00E5508B"/>
    <w:rsid w:val="00E55986"/>
    <w:rsid w:val="00E56341"/>
    <w:rsid w:val="00E5671C"/>
    <w:rsid w:val="00E57C19"/>
    <w:rsid w:val="00E612B5"/>
    <w:rsid w:val="00E62BA5"/>
    <w:rsid w:val="00E6323D"/>
    <w:rsid w:val="00E63538"/>
    <w:rsid w:val="00E64153"/>
    <w:rsid w:val="00E641AD"/>
    <w:rsid w:val="00E660C6"/>
    <w:rsid w:val="00E667F3"/>
    <w:rsid w:val="00E66F41"/>
    <w:rsid w:val="00E71935"/>
    <w:rsid w:val="00E71B66"/>
    <w:rsid w:val="00E73A8A"/>
    <w:rsid w:val="00E7441C"/>
    <w:rsid w:val="00E747FF"/>
    <w:rsid w:val="00E74F40"/>
    <w:rsid w:val="00E7613D"/>
    <w:rsid w:val="00E77A82"/>
    <w:rsid w:val="00E80D35"/>
    <w:rsid w:val="00E80DA6"/>
    <w:rsid w:val="00E80E17"/>
    <w:rsid w:val="00E80FED"/>
    <w:rsid w:val="00E811F5"/>
    <w:rsid w:val="00E813E2"/>
    <w:rsid w:val="00E814D0"/>
    <w:rsid w:val="00E828D2"/>
    <w:rsid w:val="00E85ABB"/>
    <w:rsid w:val="00E85E0B"/>
    <w:rsid w:val="00E85FAC"/>
    <w:rsid w:val="00E90C58"/>
    <w:rsid w:val="00E90E00"/>
    <w:rsid w:val="00E916D6"/>
    <w:rsid w:val="00E919EA"/>
    <w:rsid w:val="00E920C0"/>
    <w:rsid w:val="00E926FD"/>
    <w:rsid w:val="00E92BFC"/>
    <w:rsid w:val="00E92E4D"/>
    <w:rsid w:val="00E94C48"/>
    <w:rsid w:val="00E957FD"/>
    <w:rsid w:val="00E95A0A"/>
    <w:rsid w:val="00E96033"/>
    <w:rsid w:val="00E961A1"/>
    <w:rsid w:val="00E97491"/>
    <w:rsid w:val="00EA057B"/>
    <w:rsid w:val="00EA0A7E"/>
    <w:rsid w:val="00EA0B5D"/>
    <w:rsid w:val="00EA0F74"/>
    <w:rsid w:val="00EA102E"/>
    <w:rsid w:val="00EA3645"/>
    <w:rsid w:val="00EA3803"/>
    <w:rsid w:val="00EA41C7"/>
    <w:rsid w:val="00EA4285"/>
    <w:rsid w:val="00EA4BDF"/>
    <w:rsid w:val="00EA5FF5"/>
    <w:rsid w:val="00EA6045"/>
    <w:rsid w:val="00EA6103"/>
    <w:rsid w:val="00EA610C"/>
    <w:rsid w:val="00EA737B"/>
    <w:rsid w:val="00EA7DE4"/>
    <w:rsid w:val="00EB0828"/>
    <w:rsid w:val="00EB0F6A"/>
    <w:rsid w:val="00EB13DC"/>
    <w:rsid w:val="00EB26F7"/>
    <w:rsid w:val="00EB2E59"/>
    <w:rsid w:val="00EB43CE"/>
    <w:rsid w:val="00EB4407"/>
    <w:rsid w:val="00EB47BA"/>
    <w:rsid w:val="00EB6FF0"/>
    <w:rsid w:val="00EC06AF"/>
    <w:rsid w:val="00EC162A"/>
    <w:rsid w:val="00EC1776"/>
    <w:rsid w:val="00EC29D8"/>
    <w:rsid w:val="00EC2A34"/>
    <w:rsid w:val="00EC5B9E"/>
    <w:rsid w:val="00EC766F"/>
    <w:rsid w:val="00ED01CF"/>
    <w:rsid w:val="00ED0C7D"/>
    <w:rsid w:val="00ED13BE"/>
    <w:rsid w:val="00ED14C5"/>
    <w:rsid w:val="00ED1DCF"/>
    <w:rsid w:val="00ED2537"/>
    <w:rsid w:val="00ED31E6"/>
    <w:rsid w:val="00ED3F75"/>
    <w:rsid w:val="00ED401B"/>
    <w:rsid w:val="00ED457A"/>
    <w:rsid w:val="00ED5BF3"/>
    <w:rsid w:val="00ED5C1A"/>
    <w:rsid w:val="00ED5E97"/>
    <w:rsid w:val="00ED69EA"/>
    <w:rsid w:val="00ED6E88"/>
    <w:rsid w:val="00EE03D5"/>
    <w:rsid w:val="00EE04C0"/>
    <w:rsid w:val="00EE055B"/>
    <w:rsid w:val="00EE14DB"/>
    <w:rsid w:val="00EE1A47"/>
    <w:rsid w:val="00EE275E"/>
    <w:rsid w:val="00EE4111"/>
    <w:rsid w:val="00EE4647"/>
    <w:rsid w:val="00EE49DE"/>
    <w:rsid w:val="00EE5713"/>
    <w:rsid w:val="00EE5A64"/>
    <w:rsid w:val="00EE5B0F"/>
    <w:rsid w:val="00EE5B92"/>
    <w:rsid w:val="00EE622B"/>
    <w:rsid w:val="00EE63E7"/>
    <w:rsid w:val="00EE6BFD"/>
    <w:rsid w:val="00EE6F63"/>
    <w:rsid w:val="00EE70A1"/>
    <w:rsid w:val="00EE717C"/>
    <w:rsid w:val="00EE7458"/>
    <w:rsid w:val="00EF002D"/>
    <w:rsid w:val="00EF01ED"/>
    <w:rsid w:val="00EF025E"/>
    <w:rsid w:val="00EF36B5"/>
    <w:rsid w:val="00EF3CA8"/>
    <w:rsid w:val="00EF58CE"/>
    <w:rsid w:val="00EF60DF"/>
    <w:rsid w:val="00EF6473"/>
    <w:rsid w:val="00EF64AD"/>
    <w:rsid w:val="00EF6883"/>
    <w:rsid w:val="00EF7818"/>
    <w:rsid w:val="00EF7AEA"/>
    <w:rsid w:val="00F00787"/>
    <w:rsid w:val="00F019B9"/>
    <w:rsid w:val="00F02A75"/>
    <w:rsid w:val="00F03766"/>
    <w:rsid w:val="00F03B2A"/>
    <w:rsid w:val="00F04026"/>
    <w:rsid w:val="00F05580"/>
    <w:rsid w:val="00F06431"/>
    <w:rsid w:val="00F0656D"/>
    <w:rsid w:val="00F07085"/>
    <w:rsid w:val="00F07134"/>
    <w:rsid w:val="00F074AA"/>
    <w:rsid w:val="00F07C86"/>
    <w:rsid w:val="00F107AA"/>
    <w:rsid w:val="00F115D6"/>
    <w:rsid w:val="00F12076"/>
    <w:rsid w:val="00F12231"/>
    <w:rsid w:val="00F12A9E"/>
    <w:rsid w:val="00F132E6"/>
    <w:rsid w:val="00F1348B"/>
    <w:rsid w:val="00F138CD"/>
    <w:rsid w:val="00F15BEB"/>
    <w:rsid w:val="00F15ECD"/>
    <w:rsid w:val="00F17292"/>
    <w:rsid w:val="00F202BF"/>
    <w:rsid w:val="00F205F5"/>
    <w:rsid w:val="00F20C1F"/>
    <w:rsid w:val="00F21507"/>
    <w:rsid w:val="00F22663"/>
    <w:rsid w:val="00F233DF"/>
    <w:rsid w:val="00F25A64"/>
    <w:rsid w:val="00F267E2"/>
    <w:rsid w:val="00F269A7"/>
    <w:rsid w:val="00F27697"/>
    <w:rsid w:val="00F3145F"/>
    <w:rsid w:val="00F31D6C"/>
    <w:rsid w:val="00F34386"/>
    <w:rsid w:val="00F35CE4"/>
    <w:rsid w:val="00F36756"/>
    <w:rsid w:val="00F36DC5"/>
    <w:rsid w:val="00F37176"/>
    <w:rsid w:val="00F3766D"/>
    <w:rsid w:val="00F37EE7"/>
    <w:rsid w:val="00F40213"/>
    <w:rsid w:val="00F42693"/>
    <w:rsid w:val="00F42926"/>
    <w:rsid w:val="00F44FE9"/>
    <w:rsid w:val="00F521C1"/>
    <w:rsid w:val="00F55AA8"/>
    <w:rsid w:val="00F55C38"/>
    <w:rsid w:val="00F563A4"/>
    <w:rsid w:val="00F574C5"/>
    <w:rsid w:val="00F57A6B"/>
    <w:rsid w:val="00F57C13"/>
    <w:rsid w:val="00F6191F"/>
    <w:rsid w:val="00F62276"/>
    <w:rsid w:val="00F62A77"/>
    <w:rsid w:val="00F62E6D"/>
    <w:rsid w:val="00F63A5D"/>
    <w:rsid w:val="00F63A90"/>
    <w:rsid w:val="00F63D19"/>
    <w:rsid w:val="00F64593"/>
    <w:rsid w:val="00F6480D"/>
    <w:rsid w:val="00F65306"/>
    <w:rsid w:val="00F6532E"/>
    <w:rsid w:val="00F65506"/>
    <w:rsid w:val="00F66D69"/>
    <w:rsid w:val="00F673E2"/>
    <w:rsid w:val="00F67A8F"/>
    <w:rsid w:val="00F67F8B"/>
    <w:rsid w:val="00F70965"/>
    <w:rsid w:val="00F70C0E"/>
    <w:rsid w:val="00F712D4"/>
    <w:rsid w:val="00F720BC"/>
    <w:rsid w:val="00F73898"/>
    <w:rsid w:val="00F74386"/>
    <w:rsid w:val="00F74389"/>
    <w:rsid w:val="00F75DF9"/>
    <w:rsid w:val="00F763B6"/>
    <w:rsid w:val="00F7703D"/>
    <w:rsid w:val="00F802B8"/>
    <w:rsid w:val="00F803F6"/>
    <w:rsid w:val="00F8048A"/>
    <w:rsid w:val="00F81520"/>
    <w:rsid w:val="00F818DF"/>
    <w:rsid w:val="00F81F94"/>
    <w:rsid w:val="00F81FA8"/>
    <w:rsid w:val="00F82EAF"/>
    <w:rsid w:val="00F83F4F"/>
    <w:rsid w:val="00F84A9C"/>
    <w:rsid w:val="00F84C8C"/>
    <w:rsid w:val="00F85766"/>
    <w:rsid w:val="00F877AC"/>
    <w:rsid w:val="00F9024D"/>
    <w:rsid w:val="00F9036C"/>
    <w:rsid w:val="00F911A8"/>
    <w:rsid w:val="00F9182D"/>
    <w:rsid w:val="00F91836"/>
    <w:rsid w:val="00F923C4"/>
    <w:rsid w:val="00F97B58"/>
    <w:rsid w:val="00FA1A13"/>
    <w:rsid w:val="00FA5022"/>
    <w:rsid w:val="00FA5162"/>
    <w:rsid w:val="00FA6B89"/>
    <w:rsid w:val="00FA6FDC"/>
    <w:rsid w:val="00FA7AFF"/>
    <w:rsid w:val="00FB0C42"/>
    <w:rsid w:val="00FB0D39"/>
    <w:rsid w:val="00FB100A"/>
    <w:rsid w:val="00FB228C"/>
    <w:rsid w:val="00FB2A39"/>
    <w:rsid w:val="00FB3D07"/>
    <w:rsid w:val="00FB4EC8"/>
    <w:rsid w:val="00FB5064"/>
    <w:rsid w:val="00FB5BD6"/>
    <w:rsid w:val="00FC1BB9"/>
    <w:rsid w:val="00FC557F"/>
    <w:rsid w:val="00FC5C07"/>
    <w:rsid w:val="00FC6B6B"/>
    <w:rsid w:val="00FC6F08"/>
    <w:rsid w:val="00FC7C09"/>
    <w:rsid w:val="00FD02E2"/>
    <w:rsid w:val="00FD03AC"/>
    <w:rsid w:val="00FD21F8"/>
    <w:rsid w:val="00FD3139"/>
    <w:rsid w:val="00FD511B"/>
    <w:rsid w:val="00FD5ED9"/>
    <w:rsid w:val="00FE0225"/>
    <w:rsid w:val="00FE054C"/>
    <w:rsid w:val="00FE0672"/>
    <w:rsid w:val="00FE082C"/>
    <w:rsid w:val="00FE111E"/>
    <w:rsid w:val="00FE1B93"/>
    <w:rsid w:val="00FE1E17"/>
    <w:rsid w:val="00FE3AA5"/>
    <w:rsid w:val="00FE44EA"/>
    <w:rsid w:val="00FE521E"/>
    <w:rsid w:val="00FE667C"/>
    <w:rsid w:val="00FE67B5"/>
    <w:rsid w:val="00FE6E99"/>
    <w:rsid w:val="00FE6F8C"/>
    <w:rsid w:val="00FF3C6E"/>
    <w:rsid w:val="00FF3FA3"/>
    <w:rsid w:val="00FF5151"/>
    <w:rsid w:val="00FF51F7"/>
    <w:rsid w:val="00FF57CA"/>
    <w:rsid w:val="00FF5A62"/>
    <w:rsid w:val="00FF5C10"/>
    <w:rsid w:val="00FF71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9C6063"/>
  <w15:chartTrackingRefBased/>
  <w15:docId w15:val="{3FCAEF42-E985-48E9-9208-3FDFBF865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85A"/>
    <w:pPr>
      <w:spacing w:after="160" w:line="259" w:lineRule="auto"/>
    </w:pPr>
    <w:rPr>
      <w:sz w:val="22"/>
      <w:szCs w:val="22"/>
      <w:lang w:eastAsia="en-US"/>
    </w:rPr>
  </w:style>
  <w:style w:type="paragraph" w:styleId="Heading1">
    <w:name w:val="heading 1"/>
    <w:basedOn w:val="Normal"/>
    <w:next w:val="Normal"/>
    <w:link w:val="Heading1Char"/>
    <w:uiPriority w:val="9"/>
    <w:qFormat/>
    <w:rsid w:val="00A6485A"/>
    <w:pPr>
      <w:spacing w:line="240" w:lineRule="auto"/>
      <w:jc w:val="center"/>
      <w:outlineLvl w:val="0"/>
    </w:pPr>
    <w:rPr>
      <w:rFonts w:ascii="Cambria" w:hAnsi="Cambria"/>
      <w:b/>
      <w:smallCaps/>
      <w:color w:val="4472C4"/>
      <w:sz w:val="26"/>
    </w:rPr>
  </w:style>
  <w:style w:type="paragraph" w:styleId="Heading2">
    <w:name w:val="heading 2"/>
    <w:basedOn w:val="Normal"/>
    <w:next w:val="Normal"/>
    <w:link w:val="Heading2Char"/>
    <w:uiPriority w:val="9"/>
    <w:unhideWhenUsed/>
    <w:qFormat/>
    <w:rsid w:val="00A6485A"/>
    <w:pPr>
      <w:spacing w:before="160" w:after="80" w:line="276" w:lineRule="auto"/>
      <w:outlineLvl w:val="1"/>
    </w:pPr>
    <w:rPr>
      <w:rFonts w:ascii="Cambria" w:hAnsi="Cambria"/>
      <w:smallCaps/>
      <w:color w:val="4472C4"/>
      <w:sz w:val="24"/>
    </w:rPr>
  </w:style>
  <w:style w:type="paragraph" w:styleId="Heading3">
    <w:name w:val="heading 3"/>
    <w:basedOn w:val="Normal"/>
    <w:next w:val="Normal"/>
    <w:link w:val="Heading3Char"/>
    <w:uiPriority w:val="9"/>
    <w:unhideWhenUsed/>
    <w:qFormat/>
    <w:rsid w:val="00A6485A"/>
    <w:pPr>
      <w:spacing w:before="100" w:after="80" w:line="360" w:lineRule="auto"/>
      <w:outlineLvl w:val="2"/>
    </w:pPr>
    <w:rPr>
      <w:rFonts w:ascii="Cambria" w:hAnsi="Cambria" w:cs="Calibri"/>
      <w:color w:val="4472C4"/>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E1E"/>
    <w:pPr>
      <w:spacing w:before="120" w:after="120"/>
    </w:pPr>
    <w:rPr>
      <w:rFonts w:ascii="Cambria" w:hAnsi="Cambria" w:cs="Calibri"/>
      <w:bCs/>
      <w:caps/>
      <w:sz w:val="21"/>
      <w:szCs w:val="20"/>
    </w:rPr>
  </w:style>
  <w:style w:type="paragraph" w:styleId="TOC2">
    <w:name w:val="toc 2"/>
    <w:basedOn w:val="Normal"/>
    <w:next w:val="Normal"/>
    <w:autoRedefine/>
    <w:uiPriority w:val="39"/>
    <w:unhideWhenUsed/>
    <w:rsid w:val="002A4E1E"/>
    <w:pPr>
      <w:spacing w:after="0"/>
      <w:ind w:left="255"/>
    </w:pPr>
    <w:rPr>
      <w:rFonts w:ascii="Cambria" w:hAnsi="Cambria" w:cs="Calibri"/>
      <w:smallCaps/>
      <w:sz w:val="21"/>
      <w:szCs w:val="20"/>
    </w:rPr>
  </w:style>
  <w:style w:type="paragraph" w:styleId="TOC3">
    <w:name w:val="toc 3"/>
    <w:basedOn w:val="Normal"/>
    <w:next w:val="Normal"/>
    <w:autoRedefine/>
    <w:uiPriority w:val="39"/>
    <w:unhideWhenUsed/>
    <w:rsid w:val="002A4E1E"/>
    <w:pPr>
      <w:spacing w:after="0"/>
      <w:ind w:left="680"/>
    </w:pPr>
    <w:rPr>
      <w:rFonts w:ascii="Cambria" w:hAnsi="Cambria" w:cs="Calibri"/>
      <w:i/>
      <w:iCs/>
      <w:sz w:val="20"/>
      <w:szCs w:val="20"/>
    </w:rPr>
  </w:style>
  <w:style w:type="character" w:customStyle="1" w:styleId="Heading1Char">
    <w:name w:val="Heading 1 Char"/>
    <w:link w:val="Heading1"/>
    <w:uiPriority w:val="9"/>
    <w:rsid w:val="00A6485A"/>
    <w:rPr>
      <w:rFonts w:ascii="Cambria" w:hAnsi="Cambria"/>
      <w:b/>
      <w:smallCaps/>
      <w:color w:val="4472C4"/>
      <w:sz w:val="26"/>
    </w:rPr>
  </w:style>
  <w:style w:type="character" w:customStyle="1" w:styleId="Heading2Char">
    <w:name w:val="Heading 2 Char"/>
    <w:link w:val="Heading2"/>
    <w:uiPriority w:val="9"/>
    <w:rsid w:val="00A6485A"/>
    <w:rPr>
      <w:rFonts w:ascii="Cambria" w:hAnsi="Cambria"/>
      <w:smallCaps/>
      <w:color w:val="4472C4"/>
      <w:sz w:val="24"/>
    </w:rPr>
  </w:style>
  <w:style w:type="character" w:customStyle="1" w:styleId="Heading3Char">
    <w:name w:val="Heading 3 Char"/>
    <w:link w:val="Heading3"/>
    <w:uiPriority w:val="9"/>
    <w:rsid w:val="00A6485A"/>
    <w:rPr>
      <w:rFonts w:ascii="Cambria" w:hAnsi="Cambria" w:cs="Calibri"/>
      <w:color w:val="4472C4"/>
      <w:sz w:val="21"/>
      <w:szCs w:val="21"/>
    </w:rPr>
  </w:style>
  <w:style w:type="character" w:styleId="Hyperlink">
    <w:name w:val="Hyperlink"/>
    <w:uiPriority w:val="99"/>
    <w:unhideWhenUsed/>
    <w:rsid w:val="0076751A"/>
    <w:rPr>
      <w:color w:val="0563C1"/>
      <w:u w:val="single"/>
    </w:rPr>
  </w:style>
  <w:style w:type="character" w:customStyle="1" w:styleId="UnresolvedMention1">
    <w:name w:val="Unresolved Mention1"/>
    <w:uiPriority w:val="99"/>
    <w:semiHidden/>
    <w:unhideWhenUsed/>
    <w:rsid w:val="0076751A"/>
    <w:rPr>
      <w:color w:val="605E5C"/>
      <w:shd w:val="clear" w:color="auto" w:fill="E1DFDD"/>
    </w:rPr>
  </w:style>
  <w:style w:type="character" w:styleId="CommentReference">
    <w:name w:val="annotation reference"/>
    <w:uiPriority w:val="99"/>
    <w:semiHidden/>
    <w:unhideWhenUsed/>
    <w:rsid w:val="00541974"/>
    <w:rPr>
      <w:sz w:val="16"/>
      <w:szCs w:val="16"/>
    </w:rPr>
  </w:style>
  <w:style w:type="paragraph" w:styleId="CommentText">
    <w:name w:val="annotation text"/>
    <w:basedOn w:val="Normal"/>
    <w:link w:val="CommentTextChar"/>
    <w:uiPriority w:val="99"/>
    <w:unhideWhenUsed/>
    <w:rsid w:val="00541974"/>
    <w:pPr>
      <w:spacing w:line="240" w:lineRule="auto"/>
    </w:pPr>
    <w:rPr>
      <w:sz w:val="20"/>
      <w:szCs w:val="20"/>
    </w:rPr>
  </w:style>
  <w:style w:type="character" w:customStyle="1" w:styleId="CommentTextChar">
    <w:name w:val="Comment Text Char"/>
    <w:link w:val="CommentText"/>
    <w:uiPriority w:val="99"/>
    <w:rsid w:val="00541974"/>
    <w:rPr>
      <w:sz w:val="20"/>
      <w:szCs w:val="20"/>
    </w:rPr>
  </w:style>
  <w:style w:type="paragraph" w:styleId="CommentSubject">
    <w:name w:val="annotation subject"/>
    <w:basedOn w:val="CommentText"/>
    <w:next w:val="CommentText"/>
    <w:link w:val="CommentSubjectChar"/>
    <w:uiPriority w:val="99"/>
    <w:semiHidden/>
    <w:unhideWhenUsed/>
    <w:rsid w:val="00541974"/>
    <w:rPr>
      <w:b/>
      <w:bCs/>
    </w:rPr>
  </w:style>
  <w:style w:type="character" w:customStyle="1" w:styleId="CommentSubjectChar">
    <w:name w:val="Comment Subject Char"/>
    <w:link w:val="CommentSubject"/>
    <w:uiPriority w:val="99"/>
    <w:semiHidden/>
    <w:rsid w:val="00541974"/>
    <w:rPr>
      <w:b/>
      <w:bCs/>
      <w:sz w:val="20"/>
      <w:szCs w:val="20"/>
    </w:rPr>
  </w:style>
  <w:style w:type="paragraph" w:styleId="BalloonText">
    <w:name w:val="Balloon Text"/>
    <w:basedOn w:val="Normal"/>
    <w:link w:val="BalloonTextChar"/>
    <w:uiPriority w:val="99"/>
    <w:semiHidden/>
    <w:unhideWhenUsed/>
    <w:rsid w:val="0054197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41974"/>
    <w:rPr>
      <w:rFonts w:ascii="Segoe UI" w:hAnsi="Segoe UI" w:cs="Segoe UI"/>
      <w:sz w:val="18"/>
      <w:szCs w:val="18"/>
    </w:rPr>
  </w:style>
  <w:style w:type="character" w:customStyle="1" w:styleId="acopre">
    <w:name w:val="acopre"/>
    <w:basedOn w:val="DefaultParagraphFont"/>
    <w:rsid w:val="00D90328"/>
  </w:style>
  <w:style w:type="character" w:styleId="Emphasis">
    <w:name w:val="Emphasis"/>
    <w:uiPriority w:val="20"/>
    <w:qFormat/>
    <w:rsid w:val="00D90328"/>
    <w:rPr>
      <w:i/>
      <w:iCs/>
    </w:rPr>
  </w:style>
  <w:style w:type="paragraph" w:styleId="ListParagraph">
    <w:name w:val="List Paragraph"/>
    <w:basedOn w:val="Normal"/>
    <w:uiPriority w:val="34"/>
    <w:qFormat/>
    <w:rsid w:val="00553A9B"/>
    <w:pPr>
      <w:ind w:left="720"/>
      <w:contextualSpacing/>
    </w:pPr>
  </w:style>
  <w:style w:type="character" w:styleId="LineNumber">
    <w:name w:val="line number"/>
    <w:basedOn w:val="DefaultParagraphFont"/>
    <w:uiPriority w:val="99"/>
    <w:semiHidden/>
    <w:unhideWhenUsed/>
    <w:rsid w:val="005F3047"/>
  </w:style>
  <w:style w:type="paragraph" w:styleId="Header">
    <w:name w:val="header"/>
    <w:basedOn w:val="Normal"/>
    <w:link w:val="HeaderChar"/>
    <w:uiPriority w:val="99"/>
    <w:unhideWhenUsed/>
    <w:rsid w:val="006E29DE"/>
    <w:pPr>
      <w:tabs>
        <w:tab w:val="center" w:pos="4513"/>
        <w:tab w:val="right" w:pos="9026"/>
      </w:tabs>
    </w:pPr>
  </w:style>
  <w:style w:type="character" w:customStyle="1" w:styleId="HeaderChar">
    <w:name w:val="Header Char"/>
    <w:link w:val="Header"/>
    <w:uiPriority w:val="99"/>
    <w:rsid w:val="006E29DE"/>
    <w:rPr>
      <w:sz w:val="22"/>
      <w:szCs w:val="22"/>
      <w:lang w:eastAsia="en-US"/>
    </w:rPr>
  </w:style>
  <w:style w:type="paragraph" w:styleId="Footer">
    <w:name w:val="footer"/>
    <w:basedOn w:val="Normal"/>
    <w:link w:val="FooterChar"/>
    <w:uiPriority w:val="99"/>
    <w:unhideWhenUsed/>
    <w:rsid w:val="006E29DE"/>
    <w:pPr>
      <w:tabs>
        <w:tab w:val="center" w:pos="4513"/>
        <w:tab w:val="right" w:pos="9026"/>
      </w:tabs>
    </w:pPr>
  </w:style>
  <w:style w:type="character" w:customStyle="1" w:styleId="FooterChar">
    <w:name w:val="Footer Char"/>
    <w:link w:val="Footer"/>
    <w:uiPriority w:val="99"/>
    <w:rsid w:val="006E29DE"/>
    <w:rPr>
      <w:sz w:val="22"/>
      <w:szCs w:val="22"/>
      <w:lang w:eastAsia="en-US"/>
    </w:rPr>
  </w:style>
  <w:style w:type="paragraph" w:customStyle="1" w:styleId="Default">
    <w:name w:val="Default"/>
    <w:rsid w:val="006E29DE"/>
    <w:pPr>
      <w:autoSpaceDE w:val="0"/>
      <w:autoSpaceDN w:val="0"/>
      <w:adjustRightInd w:val="0"/>
    </w:pPr>
    <w:rPr>
      <w:rFonts w:cs="Calibri"/>
      <w:color w:val="000000"/>
      <w:sz w:val="24"/>
      <w:szCs w:val="24"/>
    </w:rPr>
  </w:style>
  <w:style w:type="paragraph" w:styleId="HTMLPreformatted">
    <w:name w:val="HTML Preformatted"/>
    <w:basedOn w:val="Normal"/>
    <w:link w:val="HTMLPreformattedChar"/>
    <w:uiPriority w:val="99"/>
    <w:unhideWhenUsed/>
    <w:rsid w:val="002F2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rsid w:val="002F2C39"/>
    <w:rPr>
      <w:rFonts w:ascii="Courier New" w:eastAsia="Times New Roman" w:hAnsi="Courier New" w:cs="Courier New"/>
    </w:rPr>
  </w:style>
  <w:style w:type="character" w:customStyle="1" w:styleId="gnkrckgcgsb">
    <w:name w:val="gnkrckgcgsb"/>
    <w:basedOn w:val="DefaultParagraphFont"/>
    <w:rsid w:val="002F2C39"/>
  </w:style>
  <w:style w:type="character" w:customStyle="1" w:styleId="gnkrckgcmsb">
    <w:name w:val="gnkrckgcmsb"/>
    <w:basedOn w:val="DefaultParagraphFont"/>
    <w:rsid w:val="00D45945"/>
  </w:style>
  <w:style w:type="character" w:customStyle="1" w:styleId="gnkrckgcmrb">
    <w:name w:val="gnkrckgcmrb"/>
    <w:basedOn w:val="DefaultParagraphFont"/>
    <w:rsid w:val="00D45945"/>
  </w:style>
  <w:style w:type="paragraph" w:customStyle="1" w:styleId="tabletext">
    <w:name w:val="table_text"/>
    <w:basedOn w:val="Normal"/>
    <w:link w:val="tabletextChar"/>
    <w:qFormat/>
    <w:rsid w:val="001B3AB3"/>
    <w:pPr>
      <w:keepLines/>
      <w:widowControl w:val="0"/>
      <w:autoSpaceDN w:val="0"/>
      <w:adjustRightInd w:val="0"/>
      <w:spacing w:before="120" w:after="120" w:line="200" w:lineRule="atLeast"/>
    </w:pPr>
    <w:rPr>
      <w:rFonts w:eastAsia="Times New Roman"/>
      <w:kern w:val="20"/>
      <w:sz w:val="20"/>
      <w:szCs w:val="20"/>
    </w:rPr>
  </w:style>
  <w:style w:type="character" w:customStyle="1" w:styleId="tabletextChar">
    <w:name w:val="table_text Char"/>
    <w:link w:val="tabletext"/>
    <w:locked/>
    <w:rsid w:val="001B3AB3"/>
    <w:rPr>
      <w:rFonts w:eastAsia="Times New Roman"/>
      <w:kern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3836">
      <w:bodyDiv w:val="1"/>
      <w:marLeft w:val="0"/>
      <w:marRight w:val="0"/>
      <w:marTop w:val="0"/>
      <w:marBottom w:val="0"/>
      <w:divBdr>
        <w:top w:val="none" w:sz="0" w:space="0" w:color="auto"/>
        <w:left w:val="none" w:sz="0" w:space="0" w:color="auto"/>
        <w:bottom w:val="none" w:sz="0" w:space="0" w:color="auto"/>
        <w:right w:val="none" w:sz="0" w:space="0" w:color="auto"/>
      </w:divBdr>
      <w:divsChild>
        <w:div w:id="657265405">
          <w:marLeft w:val="0"/>
          <w:marRight w:val="0"/>
          <w:marTop w:val="0"/>
          <w:marBottom w:val="0"/>
          <w:divBdr>
            <w:top w:val="none" w:sz="0" w:space="0" w:color="auto"/>
            <w:left w:val="none" w:sz="0" w:space="0" w:color="auto"/>
            <w:bottom w:val="none" w:sz="0" w:space="0" w:color="auto"/>
            <w:right w:val="none" w:sz="0" w:space="0" w:color="auto"/>
          </w:divBdr>
        </w:div>
      </w:divsChild>
    </w:div>
    <w:div w:id="404689846">
      <w:bodyDiv w:val="1"/>
      <w:marLeft w:val="0"/>
      <w:marRight w:val="0"/>
      <w:marTop w:val="0"/>
      <w:marBottom w:val="0"/>
      <w:divBdr>
        <w:top w:val="none" w:sz="0" w:space="0" w:color="auto"/>
        <w:left w:val="none" w:sz="0" w:space="0" w:color="auto"/>
        <w:bottom w:val="none" w:sz="0" w:space="0" w:color="auto"/>
        <w:right w:val="none" w:sz="0" w:space="0" w:color="auto"/>
      </w:divBdr>
    </w:div>
    <w:div w:id="421224964">
      <w:bodyDiv w:val="1"/>
      <w:marLeft w:val="0"/>
      <w:marRight w:val="0"/>
      <w:marTop w:val="0"/>
      <w:marBottom w:val="0"/>
      <w:divBdr>
        <w:top w:val="none" w:sz="0" w:space="0" w:color="auto"/>
        <w:left w:val="none" w:sz="0" w:space="0" w:color="auto"/>
        <w:bottom w:val="none" w:sz="0" w:space="0" w:color="auto"/>
        <w:right w:val="none" w:sz="0" w:space="0" w:color="auto"/>
      </w:divBdr>
    </w:div>
    <w:div w:id="429131573">
      <w:bodyDiv w:val="1"/>
      <w:marLeft w:val="0"/>
      <w:marRight w:val="0"/>
      <w:marTop w:val="0"/>
      <w:marBottom w:val="0"/>
      <w:divBdr>
        <w:top w:val="none" w:sz="0" w:space="0" w:color="auto"/>
        <w:left w:val="none" w:sz="0" w:space="0" w:color="auto"/>
        <w:bottom w:val="none" w:sz="0" w:space="0" w:color="auto"/>
        <w:right w:val="none" w:sz="0" w:space="0" w:color="auto"/>
      </w:divBdr>
      <w:divsChild>
        <w:div w:id="1009411870">
          <w:marLeft w:val="0"/>
          <w:marRight w:val="0"/>
          <w:marTop w:val="0"/>
          <w:marBottom w:val="0"/>
          <w:divBdr>
            <w:top w:val="none" w:sz="0" w:space="0" w:color="auto"/>
            <w:left w:val="none" w:sz="0" w:space="0" w:color="auto"/>
            <w:bottom w:val="none" w:sz="0" w:space="0" w:color="auto"/>
            <w:right w:val="none" w:sz="0" w:space="0" w:color="auto"/>
          </w:divBdr>
        </w:div>
      </w:divsChild>
    </w:div>
    <w:div w:id="445732300">
      <w:bodyDiv w:val="1"/>
      <w:marLeft w:val="0"/>
      <w:marRight w:val="0"/>
      <w:marTop w:val="0"/>
      <w:marBottom w:val="0"/>
      <w:divBdr>
        <w:top w:val="none" w:sz="0" w:space="0" w:color="auto"/>
        <w:left w:val="none" w:sz="0" w:space="0" w:color="auto"/>
        <w:bottom w:val="none" w:sz="0" w:space="0" w:color="auto"/>
        <w:right w:val="none" w:sz="0" w:space="0" w:color="auto"/>
      </w:divBdr>
    </w:div>
    <w:div w:id="449203952">
      <w:bodyDiv w:val="1"/>
      <w:marLeft w:val="0"/>
      <w:marRight w:val="0"/>
      <w:marTop w:val="0"/>
      <w:marBottom w:val="0"/>
      <w:divBdr>
        <w:top w:val="none" w:sz="0" w:space="0" w:color="auto"/>
        <w:left w:val="none" w:sz="0" w:space="0" w:color="auto"/>
        <w:bottom w:val="none" w:sz="0" w:space="0" w:color="auto"/>
        <w:right w:val="none" w:sz="0" w:space="0" w:color="auto"/>
      </w:divBdr>
      <w:divsChild>
        <w:div w:id="1117023120">
          <w:marLeft w:val="0"/>
          <w:marRight w:val="0"/>
          <w:marTop w:val="0"/>
          <w:marBottom w:val="0"/>
          <w:divBdr>
            <w:top w:val="none" w:sz="0" w:space="0" w:color="auto"/>
            <w:left w:val="none" w:sz="0" w:space="0" w:color="auto"/>
            <w:bottom w:val="none" w:sz="0" w:space="0" w:color="auto"/>
            <w:right w:val="none" w:sz="0" w:space="0" w:color="auto"/>
          </w:divBdr>
          <w:divsChild>
            <w:div w:id="938173315">
              <w:marLeft w:val="0"/>
              <w:marRight w:val="0"/>
              <w:marTop w:val="0"/>
              <w:marBottom w:val="0"/>
              <w:divBdr>
                <w:top w:val="none" w:sz="0" w:space="0" w:color="auto"/>
                <w:left w:val="none" w:sz="0" w:space="0" w:color="auto"/>
                <w:bottom w:val="none" w:sz="0" w:space="0" w:color="auto"/>
                <w:right w:val="none" w:sz="0" w:space="0" w:color="auto"/>
              </w:divBdr>
              <w:divsChild>
                <w:div w:id="21152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77661">
      <w:bodyDiv w:val="1"/>
      <w:marLeft w:val="0"/>
      <w:marRight w:val="0"/>
      <w:marTop w:val="0"/>
      <w:marBottom w:val="0"/>
      <w:divBdr>
        <w:top w:val="none" w:sz="0" w:space="0" w:color="auto"/>
        <w:left w:val="none" w:sz="0" w:space="0" w:color="auto"/>
        <w:bottom w:val="none" w:sz="0" w:space="0" w:color="auto"/>
        <w:right w:val="none" w:sz="0" w:space="0" w:color="auto"/>
      </w:divBdr>
    </w:div>
    <w:div w:id="908807114">
      <w:bodyDiv w:val="1"/>
      <w:marLeft w:val="0"/>
      <w:marRight w:val="0"/>
      <w:marTop w:val="0"/>
      <w:marBottom w:val="0"/>
      <w:divBdr>
        <w:top w:val="none" w:sz="0" w:space="0" w:color="auto"/>
        <w:left w:val="none" w:sz="0" w:space="0" w:color="auto"/>
        <w:bottom w:val="none" w:sz="0" w:space="0" w:color="auto"/>
        <w:right w:val="none" w:sz="0" w:space="0" w:color="auto"/>
      </w:divBdr>
      <w:divsChild>
        <w:div w:id="693310867">
          <w:marLeft w:val="0"/>
          <w:marRight w:val="0"/>
          <w:marTop w:val="0"/>
          <w:marBottom w:val="0"/>
          <w:divBdr>
            <w:top w:val="none" w:sz="0" w:space="0" w:color="auto"/>
            <w:left w:val="none" w:sz="0" w:space="0" w:color="auto"/>
            <w:bottom w:val="none" w:sz="0" w:space="0" w:color="auto"/>
            <w:right w:val="none" w:sz="0" w:space="0" w:color="auto"/>
          </w:divBdr>
        </w:div>
      </w:divsChild>
    </w:div>
    <w:div w:id="1058751023">
      <w:bodyDiv w:val="1"/>
      <w:marLeft w:val="0"/>
      <w:marRight w:val="0"/>
      <w:marTop w:val="0"/>
      <w:marBottom w:val="0"/>
      <w:divBdr>
        <w:top w:val="none" w:sz="0" w:space="0" w:color="auto"/>
        <w:left w:val="none" w:sz="0" w:space="0" w:color="auto"/>
        <w:bottom w:val="none" w:sz="0" w:space="0" w:color="auto"/>
        <w:right w:val="none" w:sz="0" w:space="0" w:color="auto"/>
      </w:divBdr>
      <w:divsChild>
        <w:div w:id="2111777109">
          <w:marLeft w:val="0"/>
          <w:marRight w:val="0"/>
          <w:marTop w:val="0"/>
          <w:marBottom w:val="0"/>
          <w:divBdr>
            <w:top w:val="none" w:sz="0" w:space="0" w:color="auto"/>
            <w:left w:val="none" w:sz="0" w:space="0" w:color="auto"/>
            <w:bottom w:val="none" w:sz="0" w:space="0" w:color="auto"/>
            <w:right w:val="none" w:sz="0" w:space="0" w:color="auto"/>
          </w:divBdr>
          <w:divsChild>
            <w:div w:id="1599364836">
              <w:marLeft w:val="0"/>
              <w:marRight w:val="0"/>
              <w:marTop w:val="0"/>
              <w:marBottom w:val="0"/>
              <w:divBdr>
                <w:top w:val="none" w:sz="0" w:space="0" w:color="auto"/>
                <w:left w:val="none" w:sz="0" w:space="0" w:color="auto"/>
                <w:bottom w:val="none" w:sz="0" w:space="0" w:color="auto"/>
                <w:right w:val="none" w:sz="0" w:space="0" w:color="auto"/>
              </w:divBdr>
              <w:divsChild>
                <w:div w:id="8385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03511">
      <w:bodyDiv w:val="1"/>
      <w:marLeft w:val="0"/>
      <w:marRight w:val="0"/>
      <w:marTop w:val="0"/>
      <w:marBottom w:val="0"/>
      <w:divBdr>
        <w:top w:val="none" w:sz="0" w:space="0" w:color="auto"/>
        <w:left w:val="none" w:sz="0" w:space="0" w:color="auto"/>
        <w:bottom w:val="none" w:sz="0" w:space="0" w:color="auto"/>
        <w:right w:val="none" w:sz="0" w:space="0" w:color="auto"/>
      </w:divBdr>
    </w:div>
    <w:div w:id="1314338163">
      <w:bodyDiv w:val="1"/>
      <w:marLeft w:val="0"/>
      <w:marRight w:val="0"/>
      <w:marTop w:val="0"/>
      <w:marBottom w:val="0"/>
      <w:divBdr>
        <w:top w:val="none" w:sz="0" w:space="0" w:color="auto"/>
        <w:left w:val="none" w:sz="0" w:space="0" w:color="auto"/>
        <w:bottom w:val="none" w:sz="0" w:space="0" w:color="auto"/>
        <w:right w:val="none" w:sz="0" w:space="0" w:color="auto"/>
      </w:divBdr>
    </w:div>
    <w:div w:id="1400906053">
      <w:bodyDiv w:val="1"/>
      <w:marLeft w:val="0"/>
      <w:marRight w:val="0"/>
      <w:marTop w:val="0"/>
      <w:marBottom w:val="0"/>
      <w:divBdr>
        <w:top w:val="none" w:sz="0" w:space="0" w:color="auto"/>
        <w:left w:val="none" w:sz="0" w:space="0" w:color="auto"/>
        <w:bottom w:val="none" w:sz="0" w:space="0" w:color="auto"/>
        <w:right w:val="none" w:sz="0" w:space="0" w:color="auto"/>
      </w:divBdr>
    </w:div>
    <w:div w:id="1640913261">
      <w:bodyDiv w:val="1"/>
      <w:marLeft w:val="0"/>
      <w:marRight w:val="0"/>
      <w:marTop w:val="0"/>
      <w:marBottom w:val="0"/>
      <w:divBdr>
        <w:top w:val="none" w:sz="0" w:space="0" w:color="auto"/>
        <w:left w:val="none" w:sz="0" w:space="0" w:color="auto"/>
        <w:bottom w:val="none" w:sz="0" w:space="0" w:color="auto"/>
        <w:right w:val="none" w:sz="0" w:space="0" w:color="auto"/>
      </w:divBdr>
    </w:div>
    <w:div w:id="1642493525">
      <w:bodyDiv w:val="1"/>
      <w:marLeft w:val="0"/>
      <w:marRight w:val="0"/>
      <w:marTop w:val="0"/>
      <w:marBottom w:val="0"/>
      <w:divBdr>
        <w:top w:val="none" w:sz="0" w:space="0" w:color="auto"/>
        <w:left w:val="none" w:sz="0" w:space="0" w:color="auto"/>
        <w:bottom w:val="none" w:sz="0" w:space="0" w:color="auto"/>
        <w:right w:val="none" w:sz="0" w:space="0" w:color="auto"/>
      </w:divBdr>
    </w:div>
    <w:div w:id="1730298038">
      <w:bodyDiv w:val="1"/>
      <w:marLeft w:val="0"/>
      <w:marRight w:val="0"/>
      <w:marTop w:val="0"/>
      <w:marBottom w:val="0"/>
      <w:divBdr>
        <w:top w:val="none" w:sz="0" w:space="0" w:color="auto"/>
        <w:left w:val="none" w:sz="0" w:space="0" w:color="auto"/>
        <w:bottom w:val="none" w:sz="0" w:space="0" w:color="auto"/>
        <w:right w:val="none" w:sz="0" w:space="0" w:color="auto"/>
      </w:divBdr>
      <w:divsChild>
        <w:div w:id="775440358">
          <w:marLeft w:val="0"/>
          <w:marRight w:val="0"/>
          <w:marTop w:val="0"/>
          <w:marBottom w:val="0"/>
          <w:divBdr>
            <w:top w:val="none" w:sz="0" w:space="0" w:color="auto"/>
            <w:left w:val="none" w:sz="0" w:space="0" w:color="auto"/>
            <w:bottom w:val="none" w:sz="0" w:space="0" w:color="auto"/>
            <w:right w:val="none" w:sz="0" w:space="0" w:color="auto"/>
          </w:divBdr>
        </w:div>
      </w:divsChild>
    </w:div>
    <w:div w:id="188856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ouglasboyes.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kle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4EC6-7139-4BEF-A43A-437C8311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4243</Words>
  <Characters>22234</Characters>
  <Application>Microsoft Office Word</Application>
  <DocSecurity>0</DocSecurity>
  <Lines>390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26237</CharactersWithSpaces>
  <SharedDoc>false</SharedDoc>
  <HLinks>
    <vt:vector size="12" baseType="variant">
      <vt:variant>
        <vt:i4>3211301</vt:i4>
      </vt:variant>
      <vt:variant>
        <vt:i4>3</vt:i4>
      </vt:variant>
      <vt:variant>
        <vt:i4>0</vt:i4>
      </vt:variant>
      <vt:variant>
        <vt:i4>5</vt:i4>
      </vt:variant>
      <vt:variant>
        <vt:lpwstr>http://www.ukleps.org/</vt:lpwstr>
      </vt:variant>
      <vt:variant>
        <vt:lpwstr/>
      </vt:variant>
      <vt:variant>
        <vt:i4>655483</vt:i4>
      </vt:variant>
      <vt:variant>
        <vt:i4>0</vt:i4>
      </vt:variant>
      <vt:variant>
        <vt:i4>0</vt:i4>
      </vt:variant>
      <vt:variant>
        <vt:i4>5</vt:i4>
      </vt:variant>
      <vt:variant>
        <vt:lpwstr>mailto:info@douglasboyes.co.uk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Boyes, Douglas H.</dc:creator>
  <cp:keywords/>
  <dc:description/>
  <cp:lastModifiedBy>Boyes, Douglas</cp:lastModifiedBy>
  <cp:revision>39</cp:revision>
  <cp:lastPrinted>2021-06-18T05:08:00Z</cp:lastPrinted>
  <dcterms:created xsi:type="dcterms:W3CDTF">2021-07-02T12:05:00Z</dcterms:created>
  <dcterms:modified xsi:type="dcterms:W3CDTF">2021-07-08T12:02:00Z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http://www.zotero.org/styles/journal-of-biogeography</vt:lpwstr>
  </property>
  <property fmtid="{D5CDD505-2E9C-101B-9397-08002B2CF9AE}" pid="11" name="Mendeley Recent Style Name 4_1">
    <vt:lpwstr>Journal of Biogeography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http://www.zotero.org/styles/science</vt:lpwstr>
  </property>
  <property fmtid="{D5CDD505-2E9C-101B-9397-08002B2CF9AE}" pid="17" name="Mendeley Recent Style Name 7_1">
    <vt:lpwstr>Science</vt:lpwstr>
  </property>
  <property fmtid="{D5CDD505-2E9C-101B-9397-08002B2CF9AE}" pid="18" name="Mendeley Recent Style Id 8_1">
    <vt:lpwstr>http://www.zotero.org/styles/harvard-the-university-of-sheffield-school-of-east-asian-studies</vt:lpwstr>
  </property>
  <property fmtid="{D5CDD505-2E9C-101B-9397-08002B2CF9AE}" pid="19" name="Mendeley Recent Style Name 8_1">
    <vt:lpwstr>The University of Sheffield - School of East Asian Studies - Harvard</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3ffe3c6a-f15e-305b-9263-007382d24eba</vt:lpwstr>
  </property>
  <property fmtid="{D5CDD505-2E9C-101B-9397-08002B2CF9AE}" pid="24" name="Mendeley Citation Style_1">
    <vt:lpwstr>http://www.zotero.org/styles/journal-of-biogeography</vt:lpwstr>
  </property>
</Properties>
</file>