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6F163749" w14:textId="77777777" w:rsidTr="00FB65B8">
        <w:tc>
          <w:tcPr>
            <w:tcW w:w="5395" w:type="dxa"/>
          </w:tcPr>
          <w:p w14:paraId="1503E68B" w14:textId="4A7BB3BD" w:rsidR="00A81248" w:rsidRPr="003A798E" w:rsidRDefault="009A1195" w:rsidP="000B1513">
            <w:pPr>
              <w:pStyle w:val="GraphicAnchor"/>
            </w:pPr>
            <w:r w:rsidRPr="003A798E">
              <w:rPr>
                <w:noProof/>
                <w:lang w:eastAsia="en-AU"/>
              </w:rPr>
              <mc:AlternateContent>
                <mc:Choice Requires="wpg">
                  <w:drawing>
                    <wp:anchor distT="0" distB="0" distL="114300" distR="114300" simplePos="0" relativeHeight="251659264" behindDoc="1" locked="0" layoutInCell="1" allowOverlap="1" wp14:anchorId="059490D2" wp14:editId="5971D516">
                      <wp:simplePos x="0" y="0"/>
                      <wp:positionH relativeFrom="margin">
                        <wp:posOffset>-506730</wp:posOffset>
                      </wp:positionH>
                      <wp:positionV relativeFrom="page">
                        <wp:posOffset>-447675</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9523"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9523"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49B6064" id="Group 1" o:spid="_x0000_s1026" style="position:absolute;margin-left:-39.9pt;margin-top:-35.25pt;width:612pt;height:791.7pt;z-index:-251657216;mso-position-horizontal-relative:margin;mso-position-vertical-relative:page;mso-width-relative:margin;mso-height-relative:margin" coordorigin="-95"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95;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1B02F5F" w14:textId="596983D5" w:rsidR="00A81248" w:rsidRPr="003A798E" w:rsidRDefault="00A81248" w:rsidP="000B1513">
            <w:pPr>
              <w:pStyle w:val="GraphicAnchor"/>
            </w:pPr>
          </w:p>
        </w:tc>
      </w:tr>
      <w:tr w:rsidR="00A81248" w:rsidRPr="003A798E" w14:paraId="048AA014" w14:textId="77777777" w:rsidTr="00FB65B8">
        <w:trPr>
          <w:trHeight w:val="2719"/>
        </w:trPr>
        <w:tc>
          <w:tcPr>
            <w:tcW w:w="5395" w:type="dxa"/>
          </w:tcPr>
          <w:p w14:paraId="4253DB50" w14:textId="023B2B37" w:rsidR="009A1195" w:rsidRPr="009A1195" w:rsidRDefault="009A1195" w:rsidP="000B1513">
            <w:pPr>
              <w:pStyle w:val="Heading1"/>
            </w:pPr>
            <w:r>
              <w:t>King County Housing</w:t>
            </w:r>
          </w:p>
        </w:tc>
        <w:tc>
          <w:tcPr>
            <w:tcW w:w="5395" w:type="dxa"/>
          </w:tcPr>
          <w:p w14:paraId="26116634" w14:textId="77777777" w:rsidR="00A81248" w:rsidRPr="003A798E" w:rsidRDefault="00A81248" w:rsidP="000B1513"/>
        </w:tc>
      </w:tr>
      <w:tr w:rsidR="00A81248" w:rsidRPr="003A798E" w14:paraId="276BCEC4" w14:textId="77777777" w:rsidTr="00FB65B8">
        <w:trPr>
          <w:trHeight w:val="8059"/>
        </w:trPr>
        <w:tc>
          <w:tcPr>
            <w:tcW w:w="5395" w:type="dxa"/>
          </w:tcPr>
          <w:p w14:paraId="552BC1CE" w14:textId="76A59CC2" w:rsidR="00A81248" w:rsidRPr="003A798E" w:rsidRDefault="00A81248" w:rsidP="000B1513"/>
        </w:tc>
        <w:tc>
          <w:tcPr>
            <w:tcW w:w="5395" w:type="dxa"/>
          </w:tcPr>
          <w:p w14:paraId="0AB6F1ED" w14:textId="77777777" w:rsidR="00A81248" w:rsidRPr="003A798E" w:rsidRDefault="00A81248" w:rsidP="000B1513"/>
        </w:tc>
      </w:tr>
      <w:tr w:rsidR="00A81248" w:rsidRPr="003A798E" w14:paraId="54BC39D6" w14:textId="77777777" w:rsidTr="00FB65B8">
        <w:trPr>
          <w:trHeight w:val="1299"/>
        </w:trPr>
        <w:tc>
          <w:tcPr>
            <w:tcW w:w="5395" w:type="dxa"/>
          </w:tcPr>
          <w:p w14:paraId="6DE7FB7C" w14:textId="77777777" w:rsidR="00A81248" w:rsidRPr="003A798E" w:rsidRDefault="00A81248" w:rsidP="000B1513"/>
        </w:tc>
        <w:tc>
          <w:tcPr>
            <w:tcW w:w="5395" w:type="dxa"/>
          </w:tcPr>
          <w:p w14:paraId="77A7AC6B" w14:textId="41F01050" w:rsidR="00A81248" w:rsidRPr="003A798E" w:rsidRDefault="004B2DD6" w:rsidP="004E0D3F">
            <w:pPr>
              <w:pStyle w:val="Heading2"/>
              <w:spacing w:after="0"/>
            </w:pPr>
            <w:r>
              <w:t>2020-12-07</w:t>
            </w:r>
          </w:p>
          <w:p w14:paraId="46A62649" w14:textId="54F16FDE" w:rsidR="006E2FAB" w:rsidRDefault="006E2FAB" w:rsidP="004E0D3F">
            <w:pPr>
              <w:pStyle w:val="Heading2"/>
              <w:spacing w:after="0"/>
            </w:pPr>
            <w:r>
              <w:t>MSIS 510 Purple Team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4"/>
              <w:gridCol w:w="2585"/>
            </w:tblGrid>
            <w:tr w:rsidR="006E2FAB" w:rsidRPr="006E2FAB" w14:paraId="56B0787C" w14:textId="77777777" w:rsidTr="006E2FAB">
              <w:tc>
                <w:tcPr>
                  <w:tcW w:w="2584" w:type="dxa"/>
                </w:tcPr>
                <w:p w14:paraId="237CEB1A" w14:textId="0A37978C" w:rsidR="006E2FAB" w:rsidRPr="006E2FAB" w:rsidRDefault="006E2FAB" w:rsidP="000B1513">
                  <w:r w:rsidRPr="006E2FAB">
                    <w:t>Astha Grover</w:t>
                  </w:r>
                </w:p>
              </w:tc>
              <w:tc>
                <w:tcPr>
                  <w:tcW w:w="2585" w:type="dxa"/>
                </w:tcPr>
                <w:p w14:paraId="0A5414D9" w14:textId="5B76828A" w:rsidR="006E2FAB" w:rsidRPr="006E2FAB" w:rsidRDefault="006E2FAB" w:rsidP="000B1513">
                  <w:r w:rsidRPr="006E2FAB">
                    <w:t>Freda Li</w:t>
                  </w:r>
                </w:p>
              </w:tc>
            </w:tr>
            <w:tr w:rsidR="006E2FAB" w:rsidRPr="006E2FAB" w14:paraId="69A666CD" w14:textId="77777777" w:rsidTr="006E2FAB">
              <w:tc>
                <w:tcPr>
                  <w:tcW w:w="2584" w:type="dxa"/>
                </w:tcPr>
                <w:p w14:paraId="4B0B1AF7" w14:textId="7F5957DD" w:rsidR="006E2FAB" w:rsidRPr="006E2FAB" w:rsidRDefault="006E2FAB" w:rsidP="000B1513">
                  <w:r w:rsidRPr="006E2FAB">
                    <w:t>Dajia Bao</w:t>
                  </w:r>
                </w:p>
              </w:tc>
              <w:tc>
                <w:tcPr>
                  <w:tcW w:w="2585" w:type="dxa"/>
                </w:tcPr>
                <w:p w14:paraId="0416617B" w14:textId="1DB0A85A" w:rsidR="006E2FAB" w:rsidRPr="006E2FAB" w:rsidRDefault="006E2FAB" w:rsidP="000B1513">
                  <w:r w:rsidRPr="006E2FAB">
                    <w:t>Ian Kinder-Pyle</w:t>
                  </w:r>
                </w:p>
              </w:tc>
            </w:tr>
            <w:tr w:rsidR="006E2FAB" w:rsidRPr="006E2FAB" w14:paraId="0BF81416" w14:textId="77777777" w:rsidTr="006E2FAB">
              <w:tc>
                <w:tcPr>
                  <w:tcW w:w="2584" w:type="dxa"/>
                </w:tcPr>
                <w:p w14:paraId="2FC2AC60" w14:textId="1CDC0F1A" w:rsidR="006E2FAB" w:rsidRPr="006E2FAB" w:rsidRDefault="006E2FAB" w:rsidP="000B1513">
                  <w:r w:rsidRPr="006E2FAB">
                    <w:t>Elizabeth Evans</w:t>
                  </w:r>
                </w:p>
              </w:tc>
              <w:tc>
                <w:tcPr>
                  <w:tcW w:w="2585" w:type="dxa"/>
                </w:tcPr>
                <w:p w14:paraId="5A5BB9E9" w14:textId="74023B3D" w:rsidR="006E2FAB" w:rsidRPr="006E2FAB" w:rsidRDefault="006E2FAB" w:rsidP="000B1513">
                  <w:r w:rsidRPr="006E2FAB">
                    <w:t>Nidhi Pancholi</w:t>
                  </w:r>
                </w:p>
              </w:tc>
            </w:tr>
          </w:tbl>
          <w:p w14:paraId="768E861F" w14:textId="7F08A519" w:rsidR="006E2FAB" w:rsidRPr="006E2FAB" w:rsidRDefault="006E2FAB" w:rsidP="000B1513"/>
        </w:tc>
      </w:tr>
    </w:tbl>
    <w:p w14:paraId="5CE6138A" w14:textId="77777777" w:rsidR="000C4ED1" w:rsidRPr="003A798E" w:rsidRDefault="000C4ED1" w:rsidP="000B1513"/>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47BE2C3C" w14:textId="77777777" w:rsidTr="00DF0CFF">
        <w:trPr>
          <w:trHeight w:val="441"/>
        </w:trPr>
        <w:tc>
          <w:tcPr>
            <w:tcW w:w="421" w:type="dxa"/>
            <w:shd w:val="clear" w:color="auto" w:fill="EDF0F4" w:themeFill="accent3"/>
          </w:tcPr>
          <w:p w14:paraId="01886CF4" w14:textId="77777777" w:rsidR="00A81248" w:rsidRPr="003A798E" w:rsidRDefault="00A81248" w:rsidP="000B1513"/>
        </w:tc>
        <w:tc>
          <w:tcPr>
            <w:tcW w:w="4912" w:type="dxa"/>
            <w:shd w:val="clear" w:color="auto" w:fill="EDF0F4" w:themeFill="accent3"/>
          </w:tcPr>
          <w:p w14:paraId="69C87B9E" w14:textId="77777777" w:rsidR="00A81248" w:rsidRPr="003A798E" w:rsidRDefault="00A81248" w:rsidP="000B1513"/>
        </w:tc>
        <w:tc>
          <w:tcPr>
            <w:tcW w:w="4912" w:type="dxa"/>
            <w:shd w:val="clear" w:color="auto" w:fill="EDF0F4" w:themeFill="accent3"/>
          </w:tcPr>
          <w:p w14:paraId="4B3B5855" w14:textId="77777777" w:rsidR="00A81248" w:rsidRPr="003A798E" w:rsidRDefault="00A81248" w:rsidP="000B1513"/>
        </w:tc>
        <w:tc>
          <w:tcPr>
            <w:tcW w:w="421" w:type="dxa"/>
            <w:shd w:val="clear" w:color="auto" w:fill="EDF0F4" w:themeFill="accent3"/>
          </w:tcPr>
          <w:p w14:paraId="3EB88474" w14:textId="77777777" w:rsidR="00A81248" w:rsidRPr="003A798E" w:rsidRDefault="00A81248" w:rsidP="000B1513"/>
        </w:tc>
      </w:tr>
      <w:tr w:rsidR="001205A1" w:rsidRPr="003A798E" w14:paraId="47D3917B" w14:textId="77777777" w:rsidTr="00DF0CFF">
        <w:trPr>
          <w:trHeight w:val="4599"/>
        </w:trPr>
        <w:tc>
          <w:tcPr>
            <w:tcW w:w="421" w:type="dxa"/>
            <w:shd w:val="clear" w:color="auto" w:fill="EDF0F4" w:themeFill="accent3"/>
          </w:tcPr>
          <w:p w14:paraId="3FB687D4" w14:textId="77777777" w:rsidR="001205A1" w:rsidRDefault="001205A1" w:rsidP="000B1513"/>
          <w:p w14:paraId="179BED38" w14:textId="77777777" w:rsidR="00DF0CFF" w:rsidRPr="00DF0CFF" w:rsidRDefault="00DF0CFF" w:rsidP="000B1513"/>
          <w:p w14:paraId="11BC0AE4" w14:textId="77777777" w:rsidR="00DF0CFF" w:rsidRPr="00DF0CFF" w:rsidRDefault="00DF0CFF" w:rsidP="000B1513"/>
          <w:p w14:paraId="25724983" w14:textId="77777777" w:rsidR="00DF0CFF" w:rsidRPr="00DF0CFF" w:rsidRDefault="00DF0CFF" w:rsidP="000B1513"/>
          <w:p w14:paraId="014E815E" w14:textId="77777777" w:rsidR="00DF0CFF" w:rsidRPr="00DF0CFF" w:rsidRDefault="00DF0CFF" w:rsidP="000B1513"/>
          <w:p w14:paraId="2856DCA5" w14:textId="77777777" w:rsidR="00DF0CFF" w:rsidRPr="00DF0CFF" w:rsidRDefault="00DF0CFF" w:rsidP="000B1513"/>
          <w:p w14:paraId="7A3F6479" w14:textId="77777777" w:rsidR="00DF0CFF" w:rsidRPr="00DF0CFF" w:rsidRDefault="00DF0CFF" w:rsidP="000B1513"/>
          <w:p w14:paraId="7A46E65C" w14:textId="77777777" w:rsidR="00DF0CFF" w:rsidRPr="00DF0CFF" w:rsidRDefault="00DF0CFF" w:rsidP="000B1513"/>
          <w:p w14:paraId="5DE70CA2" w14:textId="77777777" w:rsidR="00DF0CFF" w:rsidRPr="00DF0CFF" w:rsidRDefault="00DF0CFF" w:rsidP="000B1513"/>
          <w:p w14:paraId="3FBEE069" w14:textId="77777777" w:rsidR="00DF0CFF" w:rsidRPr="00DF0CFF" w:rsidRDefault="00DF0CFF" w:rsidP="000B1513"/>
          <w:p w14:paraId="47C31AD1" w14:textId="77777777" w:rsidR="00DF0CFF" w:rsidRPr="00DF0CFF" w:rsidRDefault="00DF0CFF" w:rsidP="000B1513"/>
          <w:p w14:paraId="65B3C852" w14:textId="18B3E0C8" w:rsidR="00DF0CFF" w:rsidRPr="00DF0CFF" w:rsidRDefault="00DF0CFF" w:rsidP="000B1513"/>
        </w:tc>
        <w:tc>
          <w:tcPr>
            <w:tcW w:w="9824" w:type="dxa"/>
            <w:gridSpan w:val="2"/>
            <w:shd w:val="clear" w:color="auto" w:fill="EDF0F4" w:themeFill="accent3"/>
          </w:tcPr>
          <w:p w14:paraId="3D18D96A" w14:textId="445FAACD" w:rsidR="001205A1" w:rsidRPr="003A798E" w:rsidRDefault="00371FE0" w:rsidP="000B1513">
            <w:pPr>
              <w:pStyle w:val="Heading3"/>
            </w:pPr>
            <w:r>
              <w:t>Objective</w:t>
            </w:r>
          </w:p>
          <w:p w14:paraId="7D59995C" w14:textId="77777777" w:rsidR="001205A1" w:rsidRPr="003A798E" w:rsidRDefault="001205A1" w:rsidP="000B1513">
            <w:pPr>
              <w:pStyle w:val="Heading4"/>
            </w:pPr>
          </w:p>
          <w:p w14:paraId="590B2A78" w14:textId="2D02CCAD" w:rsidR="00023A31" w:rsidRPr="00371FE0" w:rsidRDefault="00023A31" w:rsidP="000B1513">
            <w:pPr>
              <w:pStyle w:val="Heading4"/>
              <w:rPr>
                <w:sz w:val="24"/>
                <w:szCs w:val="24"/>
              </w:rPr>
            </w:pPr>
            <w:r w:rsidRPr="00371FE0">
              <w:rPr>
                <w:sz w:val="24"/>
                <w:szCs w:val="24"/>
              </w:rPr>
              <w:t xml:space="preserve">The Greater Seattle area has become a real estate hot spot in the past few years. Despite the pandemic, given the historical low interest environment, the median sale price </w:t>
            </w:r>
            <w:r w:rsidR="00542FC2" w:rsidRPr="00371FE0">
              <w:rPr>
                <w:sz w:val="24"/>
                <w:szCs w:val="24"/>
              </w:rPr>
              <w:t>has increased</w:t>
            </w:r>
            <w:r w:rsidRPr="00371FE0">
              <w:rPr>
                <w:sz w:val="24"/>
                <w:szCs w:val="24"/>
              </w:rPr>
              <w:t xml:space="preserve"> 10.5% year over year and the volume </w:t>
            </w:r>
            <w:r w:rsidR="009B378C" w:rsidRPr="00371FE0">
              <w:rPr>
                <w:sz w:val="24"/>
                <w:szCs w:val="24"/>
              </w:rPr>
              <w:t xml:space="preserve">of sales </w:t>
            </w:r>
            <w:r w:rsidR="00542FC2" w:rsidRPr="00371FE0">
              <w:rPr>
                <w:sz w:val="24"/>
                <w:szCs w:val="24"/>
              </w:rPr>
              <w:t>has increased</w:t>
            </w:r>
            <w:r w:rsidRPr="00371FE0">
              <w:rPr>
                <w:sz w:val="24"/>
                <w:szCs w:val="24"/>
              </w:rPr>
              <w:t xml:space="preserve"> 19.7% year over year. </w:t>
            </w:r>
          </w:p>
          <w:p w14:paraId="0A5B04F8" w14:textId="77777777" w:rsidR="00023A31" w:rsidRPr="00371FE0" w:rsidRDefault="00023A31" w:rsidP="000B1513">
            <w:pPr>
              <w:pStyle w:val="Heading4"/>
              <w:rPr>
                <w:sz w:val="24"/>
                <w:szCs w:val="24"/>
              </w:rPr>
            </w:pPr>
          </w:p>
          <w:p w14:paraId="1BBDFFFC" w14:textId="6306200F" w:rsidR="00023A31" w:rsidRPr="00023A31" w:rsidRDefault="00023A31" w:rsidP="000B1513">
            <w:pPr>
              <w:pStyle w:val="Heading4"/>
              <w:spacing w:after="240"/>
            </w:pPr>
            <w:r w:rsidRPr="00371FE0">
              <w:rPr>
                <w:sz w:val="24"/>
                <w:szCs w:val="24"/>
              </w:rPr>
              <w:t xml:space="preserve">For an average buyer, it would be very easy for him to enter an endless bidding war. Our goal of this project is to identify the factors based on the historical King County housing data, leading to higher property </w:t>
            </w:r>
            <w:r w:rsidR="00542FC2" w:rsidRPr="00371FE0">
              <w:rPr>
                <w:sz w:val="24"/>
                <w:szCs w:val="24"/>
              </w:rPr>
              <w:t xml:space="preserve">sales </w:t>
            </w:r>
            <w:r w:rsidRPr="00371FE0">
              <w:rPr>
                <w:sz w:val="24"/>
                <w:szCs w:val="24"/>
              </w:rPr>
              <w:t>price</w:t>
            </w:r>
            <w:r w:rsidR="00542FC2" w:rsidRPr="00371FE0">
              <w:rPr>
                <w:sz w:val="24"/>
                <w:szCs w:val="24"/>
              </w:rPr>
              <w:t xml:space="preserve"> for our clients</w:t>
            </w:r>
            <w:r w:rsidRPr="00371FE0">
              <w:rPr>
                <w:sz w:val="24"/>
                <w:szCs w:val="24"/>
              </w:rPr>
              <w:t xml:space="preserve">. Moreover, our next goal is to establish a model to predict the housing price so that we could use it to compare with the listing price of </w:t>
            </w:r>
            <w:r w:rsidR="00542FC2" w:rsidRPr="00371FE0">
              <w:rPr>
                <w:sz w:val="24"/>
                <w:szCs w:val="24"/>
              </w:rPr>
              <w:t>interesting properties</w:t>
            </w:r>
            <w:r w:rsidRPr="00371FE0">
              <w:rPr>
                <w:sz w:val="24"/>
                <w:szCs w:val="24"/>
              </w:rPr>
              <w:t>.</w:t>
            </w:r>
          </w:p>
        </w:tc>
        <w:tc>
          <w:tcPr>
            <w:tcW w:w="421" w:type="dxa"/>
            <w:shd w:val="clear" w:color="auto" w:fill="EDF0F4" w:themeFill="accent3"/>
          </w:tcPr>
          <w:p w14:paraId="6312159A" w14:textId="77777777" w:rsidR="001205A1" w:rsidRPr="003A798E" w:rsidRDefault="001205A1" w:rsidP="000B1513"/>
        </w:tc>
      </w:tr>
    </w:tbl>
    <w:p w14:paraId="1FCE7AB5" w14:textId="2347D211" w:rsidR="00FB65B8" w:rsidRDefault="00FB65B8" w:rsidP="000B1513"/>
    <w:p w14:paraId="155293D8" w14:textId="7BDE0F0B" w:rsidR="00DF0CFF" w:rsidRPr="000B1513" w:rsidRDefault="00DF0CFF" w:rsidP="000B1513">
      <w:pPr>
        <w:pStyle w:val="Heading2"/>
      </w:pPr>
      <w:r w:rsidRPr="000B1513">
        <w:t>Data Exploration</w:t>
      </w:r>
    </w:p>
    <w:p w14:paraId="10F40F16" w14:textId="5B39A805" w:rsidR="00DF0CFF" w:rsidRPr="00C8393E" w:rsidRDefault="000B1513" w:rsidP="000B1513">
      <w:pPr>
        <w:spacing w:line="480" w:lineRule="auto"/>
        <w:rPr>
          <w:szCs w:val="24"/>
        </w:rPr>
      </w:pPr>
      <w:r>
        <w:tab/>
      </w:r>
      <w:r w:rsidR="006A0D95" w:rsidRPr="00C8393E">
        <w:rPr>
          <w:szCs w:val="24"/>
        </w:rPr>
        <w:t xml:space="preserve">The </w:t>
      </w:r>
      <w:hyperlink r:id="rId10">
        <w:r w:rsidR="006A0D95" w:rsidRPr="00C8393E">
          <w:rPr>
            <w:rStyle w:val="Emphasis"/>
            <w:szCs w:val="24"/>
            <w:u w:val="single"/>
          </w:rPr>
          <w:t>data source</w:t>
        </w:r>
      </w:hyperlink>
      <w:r w:rsidR="006A0D95" w:rsidRPr="00C8393E">
        <w:rPr>
          <w:szCs w:val="24"/>
        </w:rPr>
        <w:t xml:space="preserve"> used in this project was found via Kaggle and contains house sales prices for King County, which includes the City of Seattle as well as other municipalities with well-known employers in the Pacific Northwest such as Redmond. The data set includes homes that were sold between 2014 and 2015, with 21 variables and 21612 observations. Below is a summary of this data.</w:t>
      </w:r>
    </w:p>
    <w:tbl>
      <w:tblPr>
        <w:tblW w:w="11245" w:type="dxa"/>
        <w:tblBorders>
          <w:top w:val="single" w:sz="4" w:space="0" w:color="D6D5D5" w:themeColor="background2"/>
          <w:left w:val="single" w:sz="4" w:space="0" w:color="D6D5D5" w:themeColor="background2"/>
          <w:bottom w:val="single" w:sz="4" w:space="0" w:color="D6D5D5" w:themeColor="background2"/>
          <w:right w:val="single" w:sz="4" w:space="0" w:color="D6D5D5" w:themeColor="background2"/>
          <w:insideH w:val="single" w:sz="4" w:space="0" w:color="D6D5D5" w:themeColor="background2"/>
          <w:insideV w:val="single" w:sz="4" w:space="0" w:color="D6D5D5" w:themeColor="background2"/>
        </w:tblBorders>
        <w:tblLook w:val="04A0" w:firstRow="1" w:lastRow="0" w:firstColumn="1" w:lastColumn="0" w:noHBand="0" w:noVBand="1"/>
      </w:tblPr>
      <w:tblGrid>
        <w:gridCol w:w="1735"/>
        <w:gridCol w:w="785"/>
        <w:gridCol w:w="8725"/>
      </w:tblGrid>
      <w:tr w:rsidR="007D5FAC" w:rsidRPr="007D5FAC" w14:paraId="13E03C20" w14:textId="77777777" w:rsidTr="007D5FAC">
        <w:trPr>
          <w:trHeight w:val="330"/>
        </w:trPr>
        <w:tc>
          <w:tcPr>
            <w:tcW w:w="1735" w:type="dxa"/>
            <w:shd w:val="clear" w:color="auto" w:fill="auto"/>
            <w:noWrap/>
            <w:vAlign w:val="center"/>
            <w:hideMark/>
          </w:tcPr>
          <w:p w14:paraId="66179280"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Variable</w:t>
            </w:r>
          </w:p>
        </w:tc>
        <w:tc>
          <w:tcPr>
            <w:tcW w:w="785" w:type="dxa"/>
            <w:shd w:val="clear" w:color="auto" w:fill="auto"/>
            <w:noWrap/>
            <w:vAlign w:val="center"/>
            <w:hideMark/>
          </w:tcPr>
          <w:p w14:paraId="315C193C"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Type</w:t>
            </w:r>
          </w:p>
        </w:tc>
        <w:tc>
          <w:tcPr>
            <w:tcW w:w="8725" w:type="dxa"/>
            <w:shd w:val="clear" w:color="auto" w:fill="auto"/>
            <w:vAlign w:val="bottom"/>
            <w:hideMark/>
          </w:tcPr>
          <w:p w14:paraId="3540D961"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Description</w:t>
            </w:r>
          </w:p>
        </w:tc>
      </w:tr>
      <w:tr w:rsidR="007D5FAC" w:rsidRPr="007D5FAC" w14:paraId="635F911A" w14:textId="77777777" w:rsidTr="007D5FAC">
        <w:trPr>
          <w:trHeight w:val="330"/>
        </w:trPr>
        <w:tc>
          <w:tcPr>
            <w:tcW w:w="1735" w:type="dxa"/>
            <w:shd w:val="clear" w:color="auto" w:fill="auto"/>
            <w:noWrap/>
            <w:vAlign w:val="center"/>
            <w:hideMark/>
          </w:tcPr>
          <w:p w14:paraId="1C6F61F5"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id</w:t>
            </w:r>
          </w:p>
        </w:tc>
        <w:tc>
          <w:tcPr>
            <w:tcW w:w="785" w:type="dxa"/>
            <w:shd w:val="clear" w:color="auto" w:fill="auto"/>
            <w:noWrap/>
            <w:vAlign w:val="center"/>
            <w:hideMark/>
          </w:tcPr>
          <w:p w14:paraId="780DAEAB"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3FF2DEF1" w14:textId="77777777" w:rsidR="007D5FAC" w:rsidRPr="007D5FAC" w:rsidRDefault="007D5FAC" w:rsidP="007D5FAC">
            <w:pPr>
              <w:rPr>
                <w:rFonts w:eastAsia="Times New Roman"/>
                <w:color w:val="000000"/>
                <w:sz w:val="22"/>
              </w:rPr>
            </w:pPr>
            <w:r w:rsidRPr="007D5FAC">
              <w:rPr>
                <w:rFonts w:eastAsia="Times New Roman"/>
                <w:color w:val="000000"/>
                <w:sz w:val="22"/>
              </w:rPr>
              <w:t>Unique ID for each home sold</w:t>
            </w:r>
          </w:p>
        </w:tc>
      </w:tr>
      <w:tr w:rsidR="007D5FAC" w:rsidRPr="007D5FAC" w14:paraId="392D10D3" w14:textId="77777777" w:rsidTr="007D5FAC">
        <w:trPr>
          <w:trHeight w:val="330"/>
        </w:trPr>
        <w:tc>
          <w:tcPr>
            <w:tcW w:w="1735" w:type="dxa"/>
            <w:shd w:val="clear" w:color="auto" w:fill="auto"/>
            <w:noWrap/>
            <w:vAlign w:val="center"/>
            <w:hideMark/>
          </w:tcPr>
          <w:p w14:paraId="644E6C35"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date</w:t>
            </w:r>
          </w:p>
        </w:tc>
        <w:tc>
          <w:tcPr>
            <w:tcW w:w="785" w:type="dxa"/>
            <w:shd w:val="clear" w:color="auto" w:fill="auto"/>
            <w:noWrap/>
            <w:vAlign w:val="center"/>
            <w:hideMark/>
          </w:tcPr>
          <w:p w14:paraId="2F9A1E52" w14:textId="77777777" w:rsidR="007D5FAC" w:rsidRPr="007D5FAC" w:rsidRDefault="007D5FAC" w:rsidP="007D5FAC">
            <w:pPr>
              <w:rPr>
                <w:rFonts w:eastAsia="Times New Roman"/>
                <w:color w:val="000000"/>
                <w:sz w:val="22"/>
              </w:rPr>
            </w:pPr>
            <w:r w:rsidRPr="007D5FAC">
              <w:rPr>
                <w:rFonts w:eastAsia="Times New Roman"/>
                <w:color w:val="000000"/>
                <w:sz w:val="22"/>
              </w:rPr>
              <w:t>date</w:t>
            </w:r>
          </w:p>
        </w:tc>
        <w:tc>
          <w:tcPr>
            <w:tcW w:w="8725" w:type="dxa"/>
            <w:shd w:val="clear" w:color="auto" w:fill="auto"/>
            <w:vAlign w:val="bottom"/>
            <w:hideMark/>
          </w:tcPr>
          <w:p w14:paraId="468A0D4D" w14:textId="77777777" w:rsidR="007D5FAC" w:rsidRPr="007D5FAC" w:rsidRDefault="007D5FAC" w:rsidP="007D5FAC">
            <w:pPr>
              <w:rPr>
                <w:rFonts w:eastAsia="Times New Roman"/>
                <w:color w:val="000000"/>
                <w:sz w:val="22"/>
              </w:rPr>
            </w:pPr>
            <w:r w:rsidRPr="007D5FAC">
              <w:rPr>
                <w:rFonts w:eastAsia="Times New Roman"/>
                <w:color w:val="000000"/>
                <w:sz w:val="22"/>
              </w:rPr>
              <w:t>Date of the home sale</w:t>
            </w:r>
          </w:p>
        </w:tc>
      </w:tr>
      <w:tr w:rsidR="007D5FAC" w:rsidRPr="007D5FAC" w14:paraId="5239E978" w14:textId="77777777" w:rsidTr="007D5FAC">
        <w:trPr>
          <w:trHeight w:val="330"/>
        </w:trPr>
        <w:tc>
          <w:tcPr>
            <w:tcW w:w="1735" w:type="dxa"/>
            <w:shd w:val="clear" w:color="auto" w:fill="auto"/>
            <w:noWrap/>
            <w:vAlign w:val="center"/>
            <w:hideMark/>
          </w:tcPr>
          <w:p w14:paraId="10EB3DEE"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price</w:t>
            </w:r>
          </w:p>
        </w:tc>
        <w:tc>
          <w:tcPr>
            <w:tcW w:w="785" w:type="dxa"/>
            <w:shd w:val="clear" w:color="auto" w:fill="auto"/>
            <w:noWrap/>
            <w:vAlign w:val="center"/>
            <w:hideMark/>
          </w:tcPr>
          <w:p w14:paraId="2BB38DAF"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224F2B39" w14:textId="77777777" w:rsidR="007D5FAC" w:rsidRPr="007D5FAC" w:rsidRDefault="007D5FAC" w:rsidP="007D5FAC">
            <w:pPr>
              <w:rPr>
                <w:rFonts w:eastAsia="Times New Roman"/>
                <w:color w:val="000000"/>
                <w:sz w:val="22"/>
              </w:rPr>
            </w:pPr>
            <w:r w:rsidRPr="007D5FAC">
              <w:rPr>
                <w:rFonts w:eastAsia="Times New Roman"/>
                <w:color w:val="000000"/>
                <w:sz w:val="22"/>
              </w:rPr>
              <w:t>Price of each home sold</w:t>
            </w:r>
          </w:p>
        </w:tc>
      </w:tr>
      <w:tr w:rsidR="007D5FAC" w:rsidRPr="007D5FAC" w14:paraId="6DF9C395" w14:textId="77777777" w:rsidTr="007D5FAC">
        <w:trPr>
          <w:trHeight w:val="330"/>
        </w:trPr>
        <w:tc>
          <w:tcPr>
            <w:tcW w:w="1735" w:type="dxa"/>
            <w:shd w:val="clear" w:color="auto" w:fill="auto"/>
            <w:noWrap/>
            <w:vAlign w:val="center"/>
            <w:hideMark/>
          </w:tcPr>
          <w:p w14:paraId="12BE908A"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bedrooms</w:t>
            </w:r>
          </w:p>
        </w:tc>
        <w:tc>
          <w:tcPr>
            <w:tcW w:w="785" w:type="dxa"/>
            <w:shd w:val="clear" w:color="auto" w:fill="auto"/>
            <w:noWrap/>
            <w:vAlign w:val="center"/>
            <w:hideMark/>
          </w:tcPr>
          <w:p w14:paraId="33BBBFD9"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44BBA6C6" w14:textId="77777777" w:rsidR="007D5FAC" w:rsidRPr="007D5FAC" w:rsidRDefault="007D5FAC" w:rsidP="007D5FAC">
            <w:pPr>
              <w:rPr>
                <w:rFonts w:eastAsia="Times New Roman"/>
                <w:color w:val="000000"/>
                <w:sz w:val="22"/>
              </w:rPr>
            </w:pPr>
            <w:r w:rsidRPr="007D5FAC">
              <w:rPr>
                <w:rFonts w:eastAsia="Times New Roman"/>
                <w:color w:val="000000"/>
                <w:sz w:val="22"/>
              </w:rPr>
              <w:t>Number of bedrooms</w:t>
            </w:r>
          </w:p>
        </w:tc>
      </w:tr>
      <w:tr w:rsidR="007D5FAC" w:rsidRPr="007D5FAC" w14:paraId="057591C3" w14:textId="77777777" w:rsidTr="007D5FAC">
        <w:trPr>
          <w:trHeight w:val="330"/>
        </w:trPr>
        <w:tc>
          <w:tcPr>
            <w:tcW w:w="1735" w:type="dxa"/>
            <w:shd w:val="clear" w:color="auto" w:fill="auto"/>
            <w:noWrap/>
            <w:vAlign w:val="center"/>
            <w:hideMark/>
          </w:tcPr>
          <w:p w14:paraId="21D11A2D"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bathrooms</w:t>
            </w:r>
          </w:p>
        </w:tc>
        <w:tc>
          <w:tcPr>
            <w:tcW w:w="785" w:type="dxa"/>
            <w:shd w:val="clear" w:color="auto" w:fill="auto"/>
            <w:noWrap/>
            <w:vAlign w:val="center"/>
            <w:hideMark/>
          </w:tcPr>
          <w:p w14:paraId="6DE5EB50"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28815A65" w14:textId="77777777" w:rsidR="007D5FAC" w:rsidRPr="007D5FAC" w:rsidRDefault="007D5FAC" w:rsidP="007D5FAC">
            <w:pPr>
              <w:rPr>
                <w:rFonts w:eastAsia="Times New Roman"/>
                <w:color w:val="000000"/>
                <w:sz w:val="22"/>
              </w:rPr>
            </w:pPr>
            <w:r w:rsidRPr="007D5FAC">
              <w:rPr>
                <w:rFonts w:eastAsia="Times New Roman"/>
                <w:color w:val="000000"/>
                <w:sz w:val="22"/>
              </w:rPr>
              <w:t>Number of bathrooms, where .5 accounts for a room with a toilet but no shower</w:t>
            </w:r>
          </w:p>
        </w:tc>
      </w:tr>
      <w:tr w:rsidR="007D5FAC" w:rsidRPr="007D5FAC" w14:paraId="525D7609" w14:textId="77777777" w:rsidTr="007D5FAC">
        <w:trPr>
          <w:trHeight w:val="330"/>
        </w:trPr>
        <w:tc>
          <w:tcPr>
            <w:tcW w:w="1735" w:type="dxa"/>
            <w:shd w:val="clear" w:color="auto" w:fill="auto"/>
            <w:noWrap/>
            <w:vAlign w:val="center"/>
            <w:hideMark/>
          </w:tcPr>
          <w:p w14:paraId="0A659ABE"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sqft_living</w:t>
            </w:r>
          </w:p>
        </w:tc>
        <w:tc>
          <w:tcPr>
            <w:tcW w:w="785" w:type="dxa"/>
            <w:shd w:val="clear" w:color="auto" w:fill="auto"/>
            <w:noWrap/>
            <w:vAlign w:val="center"/>
            <w:hideMark/>
          </w:tcPr>
          <w:p w14:paraId="76EE27A3"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29739665" w14:textId="77777777" w:rsidR="007D5FAC" w:rsidRPr="007D5FAC" w:rsidRDefault="007D5FAC" w:rsidP="007D5FAC">
            <w:pPr>
              <w:rPr>
                <w:rFonts w:eastAsia="Times New Roman"/>
                <w:color w:val="000000"/>
                <w:sz w:val="22"/>
              </w:rPr>
            </w:pPr>
            <w:r w:rsidRPr="007D5FAC">
              <w:rPr>
                <w:rFonts w:eastAsia="Times New Roman"/>
                <w:color w:val="000000"/>
                <w:sz w:val="22"/>
              </w:rPr>
              <w:t>Square footage of the house interior living space</w:t>
            </w:r>
          </w:p>
        </w:tc>
      </w:tr>
      <w:tr w:rsidR="007D5FAC" w:rsidRPr="007D5FAC" w14:paraId="423F9597" w14:textId="77777777" w:rsidTr="007D5FAC">
        <w:trPr>
          <w:trHeight w:val="330"/>
        </w:trPr>
        <w:tc>
          <w:tcPr>
            <w:tcW w:w="1735" w:type="dxa"/>
            <w:shd w:val="clear" w:color="auto" w:fill="auto"/>
            <w:noWrap/>
            <w:vAlign w:val="center"/>
            <w:hideMark/>
          </w:tcPr>
          <w:p w14:paraId="66860CD6"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sqft_lot</w:t>
            </w:r>
          </w:p>
        </w:tc>
        <w:tc>
          <w:tcPr>
            <w:tcW w:w="785" w:type="dxa"/>
            <w:shd w:val="clear" w:color="auto" w:fill="auto"/>
            <w:noWrap/>
            <w:vAlign w:val="center"/>
            <w:hideMark/>
          </w:tcPr>
          <w:p w14:paraId="3FA75837"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11F01418" w14:textId="77777777" w:rsidR="007D5FAC" w:rsidRPr="007D5FAC" w:rsidRDefault="007D5FAC" w:rsidP="007D5FAC">
            <w:pPr>
              <w:rPr>
                <w:rFonts w:eastAsia="Times New Roman"/>
                <w:color w:val="000000"/>
                <w:sz w:val="22"/>
              </w:rPr>
            </w:pPr>
            <w:r w:rsidRPr="007D5FAC">
              <w:rPr>
                <w:rFonts w:eastAsia="Times New Roman"/>
                <w:color w:val="000000"/>
                <w:sz w:val="22"/>
              </w:rPr>
              <w:t>Square footage of the land space</w:t>
            </w:r>
          </w:p>
        </w:tc>
      </w:tr>
      <w:tr w:rsidR="007D5FAC" w:rsidRPr="007D5FAC" w14:paraId="75B9B815" w14:textId="77777777" w:rsidTr="007D5FAC">
        <w:trPr>
          <w:trHeight w:val="330"/>
        </w:trPr>
        <w:tc>
          <w:tcPr>
            <w:tcW w:w="1735" w:type="dxa"/>
            <w:shd w:val="clear" w:color="auto" w:fill="auto"/>
            <w:noWrap/>
            <w:vAlign w:val="center"/>
            <w:hideMark/>
          </w:tcPr>
          <w:p w14:paraId="1C5A9687"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floors</w:t>
            </w:r>
          </w:p>
        </w:tc>
        <w:tc>
          <w:tcPr>
            <w:tcW w:w="785" w:type="dxa"/>
            <w:shd w:val="clear" w:color="auto" w:fill="auto"/>
            <w:noWrap/>
            <w:vAlign w:val="center"/>
            <w:hideMark/>
          </w:tcPr>
          <w:p w14:paraId="5A4D7642"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68BEAB2C" w14:textId="77777777" w:rsidR="007D5FAC" w:rsidRPr="007D5FAC" w:rsidRDefault="007D5FAC" w:rsidP="007D5FAC">
            <w:pPr>
              <w:rPr>
                <w:rFonts w:eastAsia="Times New Roman"/>
                <w:color w:val="000000"/>
                <w:sz w:val="22"/>
              </w:rPr>
            </w:pPr>
            <w:r w:rsidRPr="007D5FAC">
              <w:rPr>
                <w:rFonts w:eastAsia="Times New Roman"/>
                <w:color w:val="000000"/>
                <w:sz w:val="22"/>
              </w:rPr>
              <w:t>Number of floors</w:t>
            </w:r>
          </w:p>
        </w:tc>
      </w:tr>
      <w:tr w:rsidR="007D5FAC" w:rsidRPr="007D5FAC" w14:paraId="1FC0F8F8" w14:textId="77777777" w:rsidTr="007D5FAC">
        <w:trPr>
          <w:trHeight w:val="330"/>
        </w:trPr>
        <w:tc>
          <w:tcPr>
            <w:tcW w:w="1735" w:type="dxa"/>
            <w:shd w:val="clear" w:color="auto" w:fill="auto"/>
            <w:noWrap/>
            <w:vAlign w:val="center"/>
            <w:hideMark/>
          </w:tcPr>
          <w:p w14:paraId="70D7FC8E"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waterfront</w:t>
            </w:r>
          </w:p>
        </w:tc>
        <w:tc>
          <w:tcPr>
            <w:tcW w:w="785" w:type="dxa"/>
            <w:shd w:val="clear" w:color="auto" w:fill="auto"/>
            <w:noWrap/>
            <w:vAlign w:val="center"/>
            <w:hideMark/>
          </w:tcPr>
          <w:p w14:paraId="2900C867"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1E14D1CA" w14:textId="77777777" w:rsidR="007D5FAC" w:rsidRPr="007D5FAC" w:rsidRDefault="007D5FAC" w:rsidP="007D5FAC">
            <w:pPr>
              <w:rPr>
                <w:rFonts w:eastAsia="Times New Roman"/>
                <w:color w:val="000000"/>
                <w:sz w:val="22"/>
              </w:rPr>
            </w:pPr>
            <w:r w:rsidRPr="007D5FAC">
              <w:rPr>
                <w:rFonts w:eastAsia="Times New Roman"/>
                <w:color w:val="000000"/>
                <w:sz w:val="22"/>
              </w:rPr>
              <w:t>A dummy variable for whether the house was overlooking the waterfront or not</w:t>
            </w:r>
          </w:p>
        </w:tc>
      </w:tr>
      <w:tr w:rsidR="007D5FAC" w:rsidRPr="007D5FAC" w14:paraId="0D020268" w14:textId="77777777" w:rsidTr="007D5FAC">
        <w:trPr>
          <w:trHeight w:val="330"/>
        </w:trPr>
        <w:tc>
          <w:tcPr>
            <w:tcW w:w="1735" w:type="dxa"/>
            <w:shd w:val="clear" w:color="auto" w:fill="auto"/>
            <w:noWrap/>
            <w:vAlign w:val="center"/>
            <w:hideMark/>
          </w:tcPr>
          <w:p w14:paraId="491BF99E" w14:textId="77777777" w:rsidR="007D5FAC" w:rsidRPr="007D5FAC" w:rsidRDefault="007D5FAC" w:rsidP="007D5FAC">
            <w:pPr>
              <w:rPr>
                <w:rFonts w:eastAsia="Times New Roman"/>
                <w:b/>
                <w:bCs/>
                <w:color w:val="000000"/>
                <w:sz w:val="22"/>
              </w:rPr>
            </w:pPr>
            <w:r w:rsidRPr="007D5FAC">
              <w:rPr>
                <w:rFonts w:eastAsia="Times New Roman"/>
                <w:b/>
                <w:bCs/>
                <w:color w:val="000000"/>
                <w:sz w:val="22"/>
              </w:rPr>
              <w:lastRenderedPageBreak/>
              <w:t>view</w:t>
            </w:r>
          </w:p>
        </w:tc>
        <w:tc>
          <w:tcPr>
            <w:tcW w:w="785" w:type="dxa"/>
            <w:shd w:val="clear" w:color="auto" w:fill="auto"/>
            <w:noWrap/>
            <w:vAlign w:val="center"/>
            <w:hideMark/>
          </w:tcPr>
          <w:p w14:paraId="5143ECBA"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35DD7C9A" w14:textId="77777777" w:rsidR="007D5FAC" w:rsidRPr="007D5FAC" w:rsidRDefault="007D5FAC" w:rsidP="007D5FAC">
            <w:pPr>
              <w:rPr>
                <w:rFonts w:eastAsia="Times New Roman"/>
                <w:color w:val="000000"/>
                <w:sz w:val="22"/>
              </w:rPr>
            </w:pPr>
            <w:r w:rsidRPr="007D5FAC">
              <w:rPr>
                <w:rFonts w:eastAsia="Times New Roman"/>
                <w:color w:val="000000"/>
                <w:sz w:val="22"/>
              </w:rPr>
              <w:t>An index from 0 to 4 of how good the view of the property was (check this predictor)</w:t>
            </w:r>
          </w:p>
        </w:tc>
      </w:tr>
      <w:tr w:rsidR="007D5FAC" w:rsidRPr="007D5FAC" w14:paraId="7A51DA3A" w14:textId="77777777" w:rsidTr="007D5FAC">
        <w:trPr>
          <w:trHeight w:val="330"/>
        </w:trPr>
        <w:tc>
          <w:tcPr>
            <w:tcW w:w="1735" w:type="dxa"/>
            <w:shd w:val="clear" w:color="auto" w:fill="auto"/>
            <w:noWrap/>
            <w:vAlign w:val="center"/>
            <w:hideMark/>
          </w:tcPr>
          <w:p w14:paraId="2122F6D2"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condition</w:t>
            </w:r>
          </w:p>
        </w:tc>
        <w:tc>
          <w:tcPr>
            <w:tcW w:w="785" w:type="dxa"/>
            <w:shd w:val="clear" w:color="auto" w:fill="auto"/>
            <w:noWrap/>
            <w:vAlign w:val="center"/>
            <w:hideMark/>
          </w:tcPr>
          <w:p w14:paraId="5563A21E"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6A4F2BD8" w14:textId="77777777" w:rsidR="007D5FAC" w:rsidRPr="007D5FAC" w:rsidRDefault="007D5FAC" w:rsidP="007D5FAC">
            <w:pPr>
              <w:rPr>
                <w:rFonts w:eastAsia="Times New Roman"/>
                <w:color w:val="000000"/>
                <w:sz w:val="22"/>
              </w:rPr>
            </w:pPr>
            <w:r w:rsidRPr="007D5FAC">
              <w:rPr>
                <w:rFonts w:eastAsia="Times New Roman"/>
                <w:color w:val="000000"/>
                <w:sz w:val="22"/>
              </w:rPr>
              <w:t>An index from 1 to 5 on the condition of the house, relative to age and grade</w:t>
            </w:r>
          </w:p>
        </w:tc>
      </w:tr>
      <w:tr w:rsidR="007D5FAC" w:rsidRPr="007D5FAC" w14:paraId="54ED1879" w14:textId="77777777" w:rsidTr="007D5FAC">
        <w:trPr>
          <w:trHeight w:val="990"/>
        </w:trPr>
        <w:tc>
          <w:tcPr>
            <w:tcW w:w="1735" w:type="dxa"/>
            <w:shd w:val="clear" w:color="auto" w:fill="auto"/>
            <w:noWrap/>
            <w:vAlign w:val="center"/>
            <w:hideMark/>
          </w:tcPr>
          <w:p w14:paraId="312DDE54"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grade</w:t>
            </w:r>
          </w:p>
        </w:tc>
        <w:tc>
          <w:tcPr>
            <w:tcW w:w="785" w:type="dxa"/>
            <w:shd w:val="clear" w:color="auto" w:fill="auto"/>
            <w:noWrap/>
            <w:vAlign w:val="center"/>
            <w:hideMark/>
          </w:tcPr>
          <w:p w14:paraId="47B70EB6"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54BC3FEC" w14:textId="77777777" w:rsidR="007D5FAC" w:rsidRPr="007D5FAC" w:rsidRDefault="007D5FAC" w:rsidP="007D5FAC">
            <w:pPr>
              <w:rPr>
                <w:rFonts w:eastAsia="Times New Roman"/>
                <w:color w:val="000000"/>
                <w:sz w:val="22"/>
              </w:rPr>
            </w:pPr>
            <w:r w:rsidRPr="007D5FAC">
              <w:rPr>
                <w:rFonts w:eastAsia="Times New Roman"/>
                <w:color w:val="000000"/>
                <w:sz w:val="22"/>
              </w:rPr>
              <w:t>An index from 1 to 13, where 1-3 falls short of building construction and design, 7 has an average level of construction and design, and 11-13 have a high quality level of construction and design</w:t>
            </w:r>
          </w:p>
        </w:tc>
      </w:tr>
      <w:tr w:rsidR="007D5FAC" w:rsidRPr="007D5FAC" w14:paraId="05E09762" w14:textId="77777777" w:rsidTr="007D5FAC">
        <w:trPr>
          <w:trHeight w:val="330"/>
        </w:trPr>
        <w:tc>
          <w:tcPr>
            <w:tcW w:w="1735" w:type="dxa"/>
            <w:shd w:val="clear" w:color="auto" w:fill="auto"/>
            <w:noWrap/>
            <w:vAlign w:val="center"/>
            <w:hideMark/>
          </w:tcPr>
          <w:p w14:paraId="26D0CEB2"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sqft_above</w:t>
            </w:r>
          </w:p>
        </w:tc>
        <w:tc>
          <w:tcPr>
            <w:tcW w:w="785" w:type="dxa"/>
            <w:shd w:val="clear" w:color="auto" w:fill="auto"/>
            <w:noWrap/>
            <w:vAlign w:val="center"/>
            <w:hideMark/>
          </w:tcPr>
          <w:p w14:paraId="33965C5B"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2A61D2CC" w14:textId="77777777" w:rsidR="007D5FAC" w:rsidRPr="007D5FAC" w:rsidRDefault="007D5FAC" w:rsidP="007D5FAC">
            <w:pPr>
              <w:rPr>
                <w:rFonts w:eastAsia="Times New Roman"/>
                <w:color w:val="000000"/>
                <w:sz w:val="22"/>
              </w:rPr>
            </w:pPr>
            <w:r w:rsidRPr="007D5FAC">
              <w:rPr>
                <w:rFonts w:eastAsia="Times New Roman"/>
                <w:color w:val="000000"/>
                <w:sz w:val="22"/>
              </w:rPr>
              <w:t>The square footage of the interior housing space that is above ground level</w:t>
            </w:r>
          </w:p>
        </w:tc>
      </w:tr>
      <w:tr w:rsidR="007D5FAC" w:rsidRPr="007D5FAC" w14:paraId="45866089" w14:textId="77777777" w:rsidTr="007D5FAC">
        <w:trPr>
          <w:trHeight w:val="330"/>
        </w:trPr>
        <w:tc>
          <w:tcPr>
            <w:tcW w:w="1735" w:type="dxa"/>
            <w:shd w:val="clear" w:color="auto" w:fill="auto"/>
            <w:noWrap/>
            <w:vAlign w:val="center"/>
            <w:hideMark/>
          </w:tcPr>
          <w:p w14:paraId="141C31B8"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sqft_basement</w:t>
            </w:r>
          </w:p>
        </w:tc>
        <w:tc>
          <w:tcPr>
            <w:tcW w:w="785" w:type="dxa"/>
            <w:shd w:val="clear" w:color="auto" w:fill="auto"/>
            <w:noWrap/>
            <w:vAlign w:val="center"/>
            <w:hideMark/>
          </w:tcPr>
          <w:p w14:paraId="18AC0C47"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1B5FCE9F" w14:textId="77777777" w:rsidR="007D5FAC" w:rsidRPr="007D5FAC" w:rsidRDefault="007D5FAC" w:rsidP="007D5FAC">
            <w:pPr>
              <w:rPr>
                <w:rFonts w:eastAsia="Times New Roman"/>
                <w:color w:val="000000"/>
                <w:sz w:val="22"/>
              </w:rPr>
            </w:pPr>
            <w:r w:rsidRPr="007D5FAC">
              <w:rPr>
                <w:rFonts w:eastAsia="Times New Roman"/>
                <w:color w:val="000000"/>
                <w:sz w:val="22"/>
              </w:rPr>
              <w:t>The square footage of the interior housing space that is below ground level</w:t>
            </w:r>
          </w:p>
        </w:tc>
      </w:tr>
      <w:tr w:rsidR="007D5FAC" w:rsidRPr="007D5FAC" w14:paraId="144EFCBD" w14:textId="77777777" w:rsidTr="007D5FAC">
        <w:trPr>
          <w:trHeight w:val="330"/>
        </w:trPr>
        <w:tc>
          <w:tcPr>
            <w:tcW w:w="1735" w:type="dxa"/>
            <w:shd w:val="clear" w:color="auto" w:fill="auto"/>
            <w:noWrap/>
            <w:vAlign w:val="center"/>
            <w:hideMark/>
          </w:tcPr>
          <w:p w14:paraId="4F323924"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yr_built</w:t>
            </w:r>
          </w:p>
        </w:tc>
        <w:tc>
          <w:tcPr>
            <w:tcW w:w="785" w:type="dxa"/>
            <w:shd w:val="clear" w:color="auto" w:fill="auto"/>
            <w:noWrap/>
            <w:vAlign w:val="center"/>
            <w:hideMark/>
          </w:tcPr>
          <w:p w14:paraId="54C6FDF5"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71097EB6" w14:textId="77777777" w:rsidR="007D5FAC" w:rsidRPr="007D5FAC" w:rsidRDefault="007D5FAC" w:rsidP="007D5FAC">
            <w:pPr>
              <w:rPr>
                <w:rFonts w:eastAsia="Times New Roman"/>
                <w:color w:val="000000"/>
                <w:sz w:val="22"/>
              </w:rPr>
            </w:pPr>
            <w:r w:rsidRPr="007D5FAC">
              <w:rPr>
                <w:rFonts w:eastAsia="Times New Roman"/>
                <w:color w:val="000000"/>
                <w:sz w:val="22"/>
              </w:rPr>
              <w:t>The year the house was initially built</w:t>
            </w:r>
          </w:p>
        </w:tc>
      </w:tr>
      <w:tr w:rsidR="007D5FAC" w:rsidRPr="007D5FAC" w14:paraId="06AFAF19" w14:textId="77777777" w:rsidTr="007D5FAC">
        <w:trPr>
          <w:trHeight w:val="330"/>
        </w:trPr>
        <w:tc>
          <w:tcPr>
            <w:tcW w:w="1735" w:type="dxa"/>
            <w:shd w:val="clear" w:color="auto" w:fill="auto"/>
            <w:noWrap/>
            <w:vAlign w:val="center"/>
            <w:hideMark/>
          </w:tcPr>
          <w:p w14:paraId="35429270"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yr_renovated</w:t>
            </w:r>
          </w:p>
        </w:tc>
        <w:tc>
          <w:tcPr>
            <w:tcW w:w="785" w:type="dxa"/>
            <w:shd w:val="clear" w:color="auto" w:fill="auto"/>
            <w:noWrap/>
            <w:vAlign w:val="center"/>
            <w:hideMark/>
          </w:tcPr>
          <w:p w14:paraId="55F899DE"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3D33C8EB" w14:textId="77777777" w:rsidR="007D5FAC" w:rsidRPr="007D5FAC" w:rsidRDefault="007D5FAC" w:rsidP="007D5FAC">
            <w:pPr>
              <w:rPr>
                <w:rFonts w:eastAsia="Times New Roman"/>
                <w:color w:val="000000"/>
                <w:sz w:val="22"/>
              </w:rPr>
            </w:pPr>
            <w:r w:rsidRPr="007D5FAC">
              <w:rPr>
                <w:rFonts w:eastAsia="Times New Roman"/>
                <w:color w:val="000000"/>
                <w:sz w:val="22"/>
              </w:rPr>
              <w:t>The year of the house’s last renovation</w:t>
            </w:r>
          </w:p>
        </w:tc>
      </w:tr>
      <w:tr w:rsidR="007D5FAC" w:rsidRPr="007D5FAC" w14:paraId="1C3DAAF9" w14:textId="77777777" w:rsidTr="007D5FAC">
        <w:trPr>
          <w:trHeight w:val="330"/>
        </w:trPr>
        <w:tc>
          <w:tcPr>
            <w:tcW w:w="1735" w:type="dxa"/>
            <w:shd w:val="clear" w:color="auto" w:fill="auto"/>
            <w:noWrap/>
            <w:vAlign w:val="center"/>
            <w:hideMark/>
          </w:tcPr>
          <w:p w14:paraId="1CDD0FC0"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zipcode</w:t>
            </w:r>
          </w:p>
        </w:tc>
        <w:tc>
          <w:tcPr>
            <w:tcW w:w="785" w:type="dxa"/>
            <w:shd w:val="clear" w:color="auto" w:fill="auto"/>
            <w:noWrap/>
            <w:vAlign w:val="center"/>
            <w:hideMark/>
          </w:tcPr>
          <w:p w14:paraId="67B1FF08"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3291BE48" w14:textId="77777777" w:rsidR="007D5FAC" w:rsidRPr="007D5FAC" w:rsidRDefault="007D5FAC" w:rsidP="007D5FAC">
            <w:pPr>
              <w:rPr>
                <w:rFonts w:eastAsia="Times New Roman"/>
                <w:color w:val="000000"/>
                <w:sz w:val="22"/>
              </w:rPr>
            </w:pPr>
            <w:r w:rsidRPr="007D5FAC">
              <w:rPr>
                <w:rFonts w:eastAsia="Times New Roman"/>
                <w:color w:val="000000"/>
                <w:sz w:val="22"/>
              </w:rPr>
              <w:t>Zipcode area the house is in</w:t>
            </w:r>
          </w:p>
        </w:tc>
      </w:tr>
      <w:tr w:rsidR="007D5FAC" w:rsidRPr="007D5FAC" w14:paraId="7B9CA0C0" w14:textId="77777777" w:rsidTr="007D5FAC">
        <w:trPr>
          <w:trHeight w:val="330"/>
        </w:trPr>
        <w:tc>
          <w:tcPr>
            <w:tcW w:w="1735" w:type="dxa"/>
            <w:shd w:val="clear" w:color="auto" w:fill="auto"/>
            <w:noWrap/>
            <w:vAlign w:val="center"/>
            <w:hideMark/>
          </w:tcPr>
          <w:p w14:paraId="04D4CBA2"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lat</w:t>
            </w:r>
          </w:p>
        </w:tc>
        <w:tc>
          <w:tcPr>
            <w:tcW w:w="785" w:type="dxa"/>
            <w:shd w:val="clear" w:color="auto" w:fill="auto"/>
            <w:noWrap/>
            <w:vAlign w:val="center"/>
            <w:hideMark/>
          </w:tcPr>
          <w:p w14:paraId="7294A9AA"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4C3DD837" w14:textId="77777777" w:rsidR="007D5FAC" w:rsidRPr="007D5FAC" w:rsidRDefault="007D5FAC" w:rsidP="007D5FAC">
            <w:pPr>
              <w:rPr>
                <w:rFonts w:eastAsia="Times New Roman"/>
                <w:color w:val="000000"/>
                <w:sz w:val="22"/>
              </w:rPr>
            </w:pPr>
            <w:r w:rsidRPr="007D5FAC">
              <w:rPr>
                <w:rFonts w:eastAsia="Times New Roman"/>
                <w:color w:val="000000"/>
                <w:sz w:val="22"/>
              </w:rPr>
              <w:t>Latitude</w:t>
            </w:r>
          </w:p>
        </w:tc>
      </w:tr>
      <w:tr w:rsidR="007D5FAC" w:rsidRPr="007D5FAC" w14:paraId="76415888" w14:textId="77777777" w:rsidTr="007D5FAC">
        <w:trPr>
          <w:trHeight w:val="330"/>
        </w:trPr>
        <w:tc>
          <w:tcPr>
            <w:tcW w:w="1735" w:type="dxa"/>
            <w:shd w:val="clear" w:color="auto" w:fill="auto"/>
            <w:noWrap/>
            <w:vAlign w:val="center"/>
            <w:hideMark/>
          </w:tcPr>
          <w:p w14:paraId="42CFDFBC"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long</w:t>
            </w:r>
          </w:p>
        </w:tc>
        <w:tc>
          <w:tcPr>
            <w:tcW w:w="785" w:type="dxa"/>
            <w:shd w:val="clear" w:color="auto" w:fill="auto"/>
            <w:noWrap/>
            <w:vAlign w:val="center"/>
            <w:hideMark/>
          </w:tcPr>
          <w:p w14:paraId="3BC6FE0C" w14:textId="77777777" w:rsidR="007D5FAC" w:rsidRPr="007D5FAC" w:rsidRDefault="007D5FAC" w:rsidP="007D5FAC">
            <w:pPr>
              <w:rPr>
                <w:rFonts w:eastAsia="Times New Roman"/>
                <w:color w:val="000000"/>
                <w:sz w:val="22"/>
              </w:rPr>
            </w:pPr>
            <w:r w:rsidRPr="007D5FAC">
              <w:rPr>
                <w:rFonts w:eastAsia="Times New Roman"/>
                <w:color w:val="000000"/>
                <w:sz w:val="22"/>
              </w:rPr>
              <w:t>num</w:t>
            </w:r>
          </w:p>
        </w:tc>
        <w:tc>
          <w:tcPr>
            <w:tcW w:w="8725" w:type="dxa"/>
            <w:shd w:val="clear" w:color="auto" w:fill="auto"/>
            <w:vAlign w:val="bottom"/>
            <w:hideMark/>
          </w:tcPr>
          <w:p w14:paraId="5C0CE887" w14:textId="77777777" w:rsidR="007D5FAC" w:rsidRPr="007D5FAC" w:rsidRDefault="007D5FAC" w:rsidP="007D5FAC">
            <w:pPr>
              <w:rPr>
                <w:rFonts w:eastAsia="Times New Roman"/>
                <w:color w:val="000000"/>
                <w:sz w:val="22"/>
              </w:rPr>
            </w:pPr>
            <w:r w:rsidRPr="007D5FAC">
              <w:rPr>
                <w:rFonts w:eastAsia="Times New Roman"/>
                <w:color w:val="000000"/>
                <w:sz w:val="22"/>
              </w:rPr>
              <w:t>Longitude</w:t>
            </w:r>
          </w:p>
        </w:tc>
      </w:tr>
      <w:tr w:rsidR="007D5FAC" w:rsidRPr="007D5FAC" w14:paraId="34DF45CE" w14:textId="77777777" w:rsidTr="007D5FAC">
        <w:trPr>
          <w:trHeight w:val="330"/>
        </w:trPr>
        <w:tc>
          <w:tcPr>
            <w:tcW w:w="1735" w:type="dxa"/>
            <w:shd w:val="clear" w:color="auto" w:fill="auto"/>
            <w:noWrap/>
            <w:vAlign w:val="center"/>
            <w:hideMark/>
          </w:tcPr>
          <w:p w14:paraId="43EE6346"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sqft_living15</w:t>
            </w:r>
          </w:p>
        </w:tc>
        <w:tc>
          <w:tcPr>
            <w:tcW w:w="785" w:type="dxa"/>
            <w:shd w:val="clear" w:color="auto" w:fill="auto"/>
            <w:noWrap/>
            <w:vAlign w:val="center"/>
            <w:hideMark/>
          </w:tcPr>
          <w:p w14:paraId="2B6356AA"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1D007042" w14:textId="77777777" w:rsidR="007D5FAC" w:rsidRPr="007D5FAC" w:rsidRDefault="007D5FAC" w:rsidP="007D5FAC">
            <w:pPr>
              <w:rPr>
                <w:rFonts w:eastAsia="Times New Roman"/>
                <w:color w:val="000000"/>
                <w:sz w:val="22"/>
              </w:rPr>
            </w:pPr>
            <w:r w:rsidRPr="007D5FAC">
              <w:rPr>
                <w:rFonts w:eastAsia="Times New Roman"/>
                <w:color w:val="000000"/>
                <w:sz w:val="22"/>
              </w:rPr>
              <w:t>The square footage of interior housing living space for the nearest 15 neighbors</w:t>
            </w:r>
          </w:p>
        </w:tc>
      </w:tr>
      <w:tr w:rsidR="007D5FAC" w:rsidRPr="007D5FAC" w14:paraId="170DAE28" w14:textId="77777777" w:rsidTr="007D5FAC">
        <w:trPr>
          <w:trHeight w:val="330"/>
        </w:trPr>
        <w:tc>
          <w:tcPr>
            <w:tcW w:w="1735" w:type="dxa"/>
            <w:shd w:val="clear" w:color="auto" w:fill="auto"/>
            <w:noWrap/>
            <w:vAlign w:val="center"/>
            <w:hideMark/>
          </w:tcPr>
          <w:p w14:paraId="7485C1A8" w14:textId="77777777" w:rsidR="007D5FAC" w:rsidRPr="007D5FAC" w:rsidRDefault="007D5FAC" w:rsidP="007D5FAC">
            <w:pPr>
              <w:rPr>
                <w:rFonts w:eastAsia="Times New Roman"/>
                <w:b/>
                <w:bCs/>
                <w:color w:val="000000"/>
                <w:sz w:val="22"/>
              </w:rPr>
            </w:pPr>
            <w:r w:rsidRPr="007D5FAC">
              <w:rPr>
                <w:rFonts w:eastAsia="Times New Roman"/>
                <w:b/>
                <w:bCs/>
                <w:color w:val="000000"/>
                <w:sz w:val="22"/>
              </w:rPr>
              <w:t>sqft_lot15</w:t>
            </w:r>
          </w:p>
        </w:tc>
        <w:tc>
          <w:tcPr>
            <w:tcW w:w="785" w:type="dxa"/>
            <w:shd w:val="clear" w:color="auto" w:fill="auto"/>
            <w:noWrap/>
            <w:vAlign w:val="center"/>
            <w:hideMark/>
          </w:tcPr>
          <w:p w14:paraId="4A63315B" w14:textId="77777777" w:rsidR="007D5FAC" w:rsidRPr="007D5FAC" w:rsidRDefault="007D5FAC" w:rsidP="007D5FAC">
            <w:pPr>
              <w:rPr>
                <w:rFonts w:eastAsia="Times New Roman"/>
                <w:color w:val="000000"/>
                <w:sz w:val="22"/>
              </w:rPr>
            </w:pPr>
            <w:r w:rsidRPr="007D5FAC">
              <w:rPr>
                <w:rFonts w:eastAsia="Times New Roman"/>
                <w:color w:val="000000"/>
                <w:sz w:val="22"/>
              </w:rPr>
              <w:t>int</w:t>
            </w:r>
          </w:p>
        </w:tc>
        <w:tc>
          <w:tcPr>
            <w:tcW w:w="8725" w:type="dxa"/>
            <w:shd w:val="clear" w:color="auto" w:fill="auto"/>
            <w:vAlign w:val="bottom"/>
            <w:hideMark/>
          </w:tcPr>
          <w:p w14:paraId="5A695C7B" w14:textId="77777777" w:rsidR="007D5FAC" w:rsidRPr="007D5FAC" w:rsidRDefault="007D5FAC" w:rsidP="007D5FAC">
            <w:pPr>
              <w:rPr>
                <w:rFonts w:eastAsia="Times New Roman"/>
                <w:color w:val="000000"/>
                <w:sz w:val="22"/>
              </w:rPr>
            </w:pPr>
            <w:r w:rsidRPr="007D5FAC">
              <w:rPr>
                <w:rFonts w:eastAsia="Times New Roman"/>
                <w:color w:val="000000"/>
                <w:sz w:val="22"/>
              </w:rPr>
              <w:t>The square footage of the land lots of the nearest 15 neighbors</w:t>
            </w:r>
          </w:p>
        </w:tc>
      </w:tr>
    </w:tbl>
    <w:p w14:paraId="7A0A559F" w14:textId="6B5D0BBE" w:rsidR="00262B19" w:rsidRDefault="00262B19" w:rsidP="000B1513">
      <w:pPr>
        <w:spacing w:line="480" w:lineRule="auto"/>
      </w:pPr>
    </w:p>
    <w:p w14:paraId="73B7CA98" w14:textId="41DED888" w:rsidR="00301A22" w:rsidRDefault="00301A22" w:rsidP="000B1513">
      <w:pPr>
        <w:spacing w:line="480" w:lineRule="auto"/>
      </w:pPr>
      <w:r>
        <w:tab/>
        <w:t>Present in this data set are houses sold in 70 zip codes in King County with an average sale price of $</w:t>
      </w:r>
      <w:r w:rsidRPr="00301A22">
        <w:t>540203</w:t>
      </w:r>
      <w:r>
        <w:t xml:space="preserve"> and a median sale price of $</w:t>
      </w:r>
      <w:r w:rsidRPr="00301A22">
        <w:t>450000</w:t>
      </w:r>
      <w:r w:rsidR="005E3A3A">
        <w:t>. This</w:t>
      </w:r>
      <w:r>
        <w:t xml:space="preserve"> would indicate that there are sales present that were sold at a significantly higher price than the median. The average number of bedrooms and bathrooms are approximately 3 and 2, respectively, and the average amount of living space is about 2000 sq. ft.</w:t>
      </w:r>
      <w:r w:rsidR="003104AD">
        <w:t xml:space="preserve"> Before our data exploration, we checked the data for blank values and cleared rows that had either zero bedrooms or zero bathrooms.</w:t>
      </w:r>
    </w:p>
    <w:p w14:paraId="6B987A3F" w14:textId="7D1E2FE7" w:rsidR="00262B19" w:rsidRDefault="00301A22" w:rsidP="00301A22">
      <w:pPr>
        <w:spacing w:line="480" w:lineRule="auto"/>
        <w:ind w:firstLine="720"/>
      </w:pPr>
      <w:r>
        <w:t>We started with exploring scatter plots for looking for relationships with price and other variables. As you can see in the figure, there is a clear positively correlated relationship with the square footage of living area with higher price, as in the more square footage the higher the selling price tended to be</w:t>
      </w:r>
      <w:r w:rsidR="00A21B3E">
        <w:t>, with a similar but not so tightly correlated relationship with the square footage of the nearest neighbors</w:t>
      </w:r>
      <w:r>
        <w:t>.</w:t>
      </w:r>
      <w:r w:rsidR="00A21B3E">
        <w:t xml:space="preserve"> This would indicate these houses are located near similarly sized homes.</w:t>
      </w:r>
    </w:p>
    <w:p w14:paraId="478056C3" w14:textId="61B9055C" w:rsidR="00272107" w:rsidRDefault="00272107" w:rsidP="00B44E2A">
      <w:pPr>
        <w:spacing w:line="480" w:lineRule="auto"/>
        <w:jc w:val="center"/>
      </w:pPr>
      <w:r>
        <w:rPr>
          <w:noProof/>
        </w:rPr>
        <w:lastRenderedPageBreak/>
        <w:drawing>
          <wp:inline distT="0" distB="0" distL="0" distR="0" wp14:anchorId="31B8BAE6" wp14:editId="3BFFDC73">
            <wp:extent cx="6754168" cy="3648584"/>
            <wp:effectExtent l="0" t="0" r="889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a:extLst>
                        <a:ext uri="{28A0092B-C50C-407E-A947-70E740481C1C}">
                          <a14:useLocalDpi xmlns:a14="http://schemas.microsoft.com/office/drawing/2010/main" val="0"/>
                        </a:ext>
                      </a:extLst>
                    </a:blip>
                    <a:stretch>
                      <a:fillRect/>
                    </a:stretch>
                  </pic:blipFill>
                  <pic:spPr>
                    <a:xfrm>
                      <a:off x="0" y="0"/>
                      <a:ext cx="6754168" cy="3648584"/>
                    </a:xfrm>
                    <a:prstGeom prst="rect">
                      <a:avLst/>
                    </a:prstGeom>
                  </pic:spPr>
                </pic:pic>
              </a:graphicData>
            </a:graphic>
          </wp:inline>
        </w:drawing>
      </w:r>
    </w:p>
    <w:p w14:paraId="4A6E10C4" w14:textId="77777777" w:rsidR="00B44E2A" w:rsidRDefault="00272107" w:rsidP="00272107">
      <w:pPr>
        <w:spacing w:line="480" w:lineRule="auto"/>
      </w:pPr>
      <w:r>
        <w:tab/>
      </w:r>
      <w:r w:rsidR="00B44E2A">
        <w:t>Another point of interest from the scatter charts is that there appears to be a data error in the bedrooms plot where a modestly price house has 33 bedrooms. We subsequently removed this row from the data.</w:t>
      </w:r>
    </w:p>
    <w:p w14:paraId="120F959B" w14:textId="13D16C13" w:rsidR="00272107" w:rsidRDefault="00B44E2A" w:rsidP="00B44E2A">
      <w:pPr>
        <w:spacing w:line="480" w:lineRule="auto"/>
        <w:jc w:val="center"/>
      </w:pPr>
      <w:r>
        <w:rPr>
          <w:noProof/>
        </w:rPr>
        <w:drawing>
          <wp:inline distT="0" distB="0" distL="0" distR="0" wp14:anchorId="1DE3B55E" wp14:editId="7CCC2D37">
            <wp:extent cx="6171357" cy="3333750"/>
            <wp:effectExtent l="0" t="0" r="127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ng"/>
                    <pic:cNvPicPr/>
                  </pic:nvPicPr>
                  <pic:blipFill>
                    <a:blip r:embed="rId12">
                      <a:extLst>
                        <a:ext uri="{28A0092B-C50C-407E-A947-70E740481C1C}">
                          <a14:useLocalDpi xmlns:a14="http://schemas.microsoft.com/office/drawing/2010/main" val="0"/>
                        </a:ext>
                      </a:extLst>
                    </a:blip>
                    <a:stretch>
                      <a:fillRect/>
                    </a:stretch>
                  </pic:blipFill>
                  <pic:spPr>
                    <a:xfrm>
                      <a:off x="0" y="0"/>
                      <a:ext cx="6230362" cy="3365624"/>
                    </a:xfrm>
                    <a:prstGeom prst="rect">
                      <a:avLst/>
                    </a:prstGeom>
                  </pic:spPr>
                </pic:pic>
              </a:graphicData>
            </a:graphic>
          </wp:inline>
        </w:drawing>
      </w:r>
    </w:p>
    <w:p w14:paraId="642BC621" w14:textId="04AE7D30" w:rsidR="00F64728" w:rsidRDefault="00E66EB8" w:rsidP="00F64728">
      <w:pPr>
        <w:spacing w:line="480" w:lineRule="auto"/>
      </w:pPr>
      <w:r>
        <w:lastRenderedPageBreak/>
        <w:tab/>
        <w:t xml:space="preserve">With the data error removed, we then explored the relationship with the square footage of the properties, as well as that of their nearest neighbors, and the price </w:t>
      </w:r>
      <w:r w:rsidR="005E3A3A">
        <w:t>using</w:t>
      </w:r>
      <w:r>
        <w:t xml:space="preserve"> bedrooms as a discrete variable.</w:t>
      </w:r>
    </w:p>
    <w:p w14:paraId="3B13DAE5" w14:textId="7980109F" w:rsidR="00E66EB8" w:rsidRDefault="00E66EB8" w:rsidP="00F64728">
      <w:pPr>
        <w:spacing w:line="480" w:lineRule="auto"/>
      </w:pPr>
      <w:r>
        <w:rPr>
          <w:noProof/>
        </w:rPr>
        <w:drawing>
          <wp:inline distT="0" distB="0" distL="0" distR="0" wp14:anchorId="703CF206" wp14:editId="5EBFA73F">
            <wp:extent cx="6754168" cy="3648584"/>
            <wp:effectExtent l="0" t="0" r="8890" b="952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ng"/>
                    <pic:cNvPicPr/>
                  </pic:nvPicPr>
                  <pic:blipFill>
                    <a:blip r:embed="rId13">
                      <a:extLst>
                        <a:ext uri="{28A0092B-C50C-407E-A947-70E740481C1C}">
                          <a14:useLocalDpi xmlns:a14="http://schemas.microsoft.com/office/drawing/2010/main" val="0"/>
                        </a:ext>
                      </a:extLst>
                    </a:blip>
                    <a:stretch>
                      <a:fillRect/>
                    </a:stretch>
                  </pic:blipFill>
                  <pic:spPr>
                    <a:xfrm>
                      <a:off x="0" y="0"/>
                      <a:ext cx="6754168" cy="3648584"/>
                    </a:xfrm>
                    <a:prstGeom prst="rect">
                      <a:avLst/>
                    </a:prstGeom>
                  </pic:spPr>
                </pic:pic>
              </a:graphicData>
            </a:graphic>
          </wp:inline>
        </w:drawing>
      </w:r>
    </w:p>
    <w:p w14:paraId="410AA3D0" w14:textId="4EED19B4" w:rsidR="00E66EB8" w:rsidRDefault="00631304" w:rsidP="00F64728">
      <w:pPr>
        <w:spacing w:line="480" w:lineRule="auto"/>
      </w:pPr>
      <w:r>
        <w:tab/>
        <w:t>This chart demonstrates a similar relationship between the number of bedrooms and square footage of the property. The variability in the nearest neighbors is also clearer, as the number of bedrooms and the square footage of the nearest neighbors has a much less distinct relationship.</w:t>
      </w:r>
    </w:p>
    <w:p w14:paraId="78FFE66E" w14:textId="25CF6167" w:rsidR="00631304" w:rsidRDefault="00631304" w:rsidP="00F64728">
      <w:pPr>
        <w:spacing w:line="480" w:lineRule="auto"/>
      </w:pPr>
      <w:r>
        <w:tab/>
        <w:t>We added a few calculated variables to further explore the relationship with the age of the property, when it was last renovated</w:t>
      </w:r>
      <w:r w:rsidR="003F2333">
        <w:t>,</w:t>
      </w:r>
      <w:r>
        <w:t xml:space="preserve"> and the price. For homes that have not been renovated, the time frame defaults to the age of the property.</w:t>
      </w:r>
    </w:p>
    <w:p w14:paraId="28D9F7F6" w14:textId="21CF8F54" w:rsidR="00631304" w:rsidRDefault="00631304" w:rsidP="00072050">
      <w:pPr>
        <w:spacing w:line="480" w:lineRule="auto"/>
        <w:jc w:val="center"/>
      </w:pPr>
      <w:r>
        <w:rPr>
          <w:noProof/>
        </w:rPr>
        <w:lastRenderedPageBreak/>
        <w:drawing>
          <wp:inline distT="0" distB="0" distL="0" distR="0" wp14:anchorId="32BA5292" wp14:editId="32D6D345">
            <wp:extent cx="5219700" cy="2819668"/>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4">
                      <a:extLst>
                        <a:ext uri="{28A0092B-C50C-407E-A947-70E740481C1C}">
                          <a14:useLocalDpi xmlns:a14="http://schemas.microsoft.com/office/drawing/2010/main" val="0"/>
                        </a:ext>
                      </a:extLst>
                    </a:blip>
                    <a:stretch>
                      <a:fillRect/>
                    </a:stretch>
                  </pic:blipFill>
                  <pic:spPr>
                    <a:xfrm>
                      <a:off x="0" y="0"/>
                      <a:ext cx="5239180" cy="2830191"/>
                    </a:xfrm>
                    <a:prstGeom prst="rect">
                      <a:avLst/>
                    </a:prstGeom>
                  </pic:spPr>
                </pic:pic>
              </a:graphicData>
            </a:graphic>
          </wp:inline>
        </w:drawing>
      </w:r>
    </w:p>
    <w:p w14:paraId="7CAA10F2" w14:textId="40771832" w:rsidR="00631304" w:rsidRDefault="00072050" w:rsidP="00F64728">
      <w:pPr>
        <w:spacing w:line="480" w:lineRule="auto"/>
      </w:pPr>
      <w:r>
        <w:tab/>
        <w:t>The entire spectrum of ages of homes appears to be well represented in this data set, with a slightly higher density of homes across price points built in the last 50 years. It also appears that higher priced homes tend to have been renovated looking at the shift of these points between the two plots.</w:t>
      </w:r>
    </w:p>
    <w:p w14:paraId="33E81938" w14:textId="7BEAE0D8" w:rsidR="00072050" w:rsidRDefault="00072050" w:rsidP="00F64728">
      <w:pPr>
        <w:spacing w:line="480" w:lineRule="auto"/>
      </w:pPr>
      <w:r>
        <w:tab/>
        <w:t xml:space="preserve">We then plotted a correlation matrix which would be our primary starting point for choosing relevant variables </w:t>
      </w:r>
      <w:r w:rsidR="00472225">
        <w:t>for</w:t>
      </w:r>
      <w:r>
        <w:t xml:space="preserve"> model</w:t>
      </w:r>
      <w:r w:rsidR="00472225">
        <w:t>ing</w:t>
      </w:r>
      <w:r>
        <w:t>.</w:t>
      </w:r>
    </w:p>
    <w:p w14:paraId="08721F69" w14:textId="4EE1B7F8" w:rsidR="00472225" w:rsidRDefault="00472225" w:rsidP="00EE35AF">
      <w:pPr>
        <w:spacing w:line="480" w:lineRule="auto"/>
        <w:jc w:val="center"/>
      </w:pPr>
      <w:r>
        <w:rPr>
          <w:noProof/>
        </w:rPr>
        <w:lastRenderedPageBreak/>
        <w:drawing>
          <wp:inline distT="0" distB="0" distL="0" distR="0" wp14:anchorId="4F85082A" wp14:editId="2D1C91F8">
            <wp:extent cx="6754168" cy="3648584"/>
            <wp:effectExtent l="0" t="0" r="8890"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15">
                      <a:extLst>
                        <a:ext uri="{28A0092B-C50C-407E-A947-70E740481C1C}">
                          <a14:useLocalDpi xmlns:a14="http://schemas.microsoft.com/office/drawing/2010/main" val="0"/>
                        </a:ext>
                      </a:extLst>
                    </a:blip>
                    <a:stretch>
                      <a:fillRect/>
                    </a:stretch>
                  </pic:blipFill>
                  <pic:spPr>
                    <a:xfrm>
                      <a:off x="0" y="0"/>
                      <a:ext cx="6754168" cy="3648584"/>
                    </a:xfrm>
                    <a:prstGeom prst="rect">
                      <a:avLst/>
                    </a:prstGeom>
                  </pic:spPr>
                </pic:pic>
              </a:graphicData>
            </a:graphic>
          </wp:inline>
        </w:drawing>
      </w:r>
    </w:p>
    <w:p w14:paraId="445B76D7" w14:textId="561350A1" w:rsidR="00A96FA5" w:rsidRDefault="00EE35AF" w:rsidP="00F64728">
      <w:pPr>
        <w:spacing w:line="480" w:lineRule="auto"/>
      </w:pPr>
      <w:r>
        <w:tab/>
      </w:r>
      <w:r w:rsidRPr="00EE35AF">
        <w:t xml:space="preserve">Grade and </w:t>
      </w:r>
      <w:r>
        <w:t>square footage</w:t>
      </w:r>
      <w:r w:rsidRPr="00EE35AF">
        <w:t xml:space="preserve"> have the highest correlation </w:t>
      </w:r>
      <w:r>
        <w:t>with price</w:t>
      </w:r>
      <w:r w:rsidRPr="00EE35AF">
        <w:t xml:space="preserve"> </w:t>
      </w:r>
      <w:r>
        <w:t>at 0.7</w:t>
      </w:r>
      <w:r w:rsidRPr="00EE35AF">
        <w:t xml:space="preserve"> as compared to all other attributes. </w:t>
      </w:r>
      <w:r>
        <w:t xml:space="preserve">The </w:t>
      </w:r>
      <w:r w:rsidRPr="00EE35AF">
        <w:t xml:space="preserve">second most important predictors as per the correlation value of 0.6 are </w:t>
      </w:r>
      <w:r>
        <w:t>the square footage above the basement</w:t>
      </w:r>
      <w:r w:rsidRPr="00EE35AF">
        <w:t xml:space="preserve"> and </w:t>
      </w:r>
      <w:r>
        <w:t>average square footage of the 15 nearest neighbors</w:t>
      </w:r>
      <w:r w:rsidRPr="00EE35AF">
        <w:t>.</w:t>
      </w:r>
      <w:r w:rsidR="00DA79E3">
        <w:t xml:space="preserve"> </w:t>
      </w:r>
    </w:p>
    <w:p w14:paraId="3E091F88" w14:textId="0EC48CF7" w:rsidR="00DA79E3" w:rsidRDefault="00DA79E3" w:rsidP="00F64728">
      <w:pPr>
        <w:spacing w:line="480" w:lineRule="auto"/>
      </w:pPr>
      <w:r>
        <w:tab/>
        <w:t>We then plotted histograms to observe frequency distribution of discrete variables. As observed in the summary statistics, the most common number of bedrooms is 3. Additionally, most homes have one or two floors and the most common grade in the data set is 7. It is notable that there is a significant number of houses represented with an above average grade.</w:t>
      </w:r>
    </w:p>
    <w:p w14:paraId="2560A903" w14:textId="7E479866" w:rsidR="00DA79E3" w:rsidRDefault="00DA79E3" w:rsidP="00A80E44">
      <w:pPr>
        <w:spacing w:line="480" w:lineRule="auto"/>
        <w:jc w:val="center"/>
      </w:pPr>
      <w:r>
        <w:rPr>
          <w:noProof/>
        </w:rPr>
        <w:lastRenderedPageBreak/>
        <w:drawing>
          <wp:inline distT="0" distB="0" distL="0" distR="0" wp14:anchorId="147FAEA5" wp14:editId="37BB841C">
            <wp:extent cx="6754168" cy="3648584"/>
            <wp:effectExtent l="0" t="0" r="8890" b="952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png"/>
                    <pic:cNvPicPr/>
                  </pic:nvPicPr>
                  <pic:blipFill>
                    <a:blip r:embed="rId16">
                      <a:extLst>
                        <a:ext uri="{28A0092B-C50C-407E-A947-70E740481C1C}">
                          <a14:useLocalDpi xmlns:a14="http://schemas.microsoft.com/office/drawing/2010/main" val="0"/>
                        </a:ext>
                      </a:extLst>
                    </a:blip>
                    <a:stretch>
                      <a:fillRect/>
                    </a:stretch>
                  </pic:blipFill>
                  <pic:spPr>
                    <a:xfrm>
                      <a:off x="0" y="0"/>
                      <a:ext cx="6754168" cy="3648584"/>
                    </a:xfrm>
                    <a:prstGeom prst="rect">
                      <a:avLst/>
                    </a:prstGeom>
                  </pic:spPr>
                </pic:pic>
              </a:graphicData>
            </a:graphic>
          </wp:inline>
        </w:drawing>
      </w:r>
    </w:p>
    <w:p w14:paraId="1BAE7E1D" w14:textId="6B0FF95A" w:rsidR="00A80E44" w:rsidRDefault="002C032B" w:rsidP="00F64728">
      <w:pPr>
        <w:spacing w:line="480" w:lineRule="auto"/>
      </w:pPr>
      <w:r>
        <w:tab/>
        <w:t>We then started exploring more statistical characteristics of the data set with box plots</w:t>
      </w:r>
      <w:r w:rsidR="00BA4BA6">
        <w:t xml:space="preserve"> of the price, square foot living space, and age represented in the data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A4BA6" w14:paraId="38E85BA8" w14:textId="77777777" w:rsidTr="00BA4BA6">
        <w:tc>
          <w:tcPr>
            <w:tcW w:w="3596" w:type="dxa"/>
          </w:tcPr>
          <w:p w14:paraId="4B367DD0" w14:textId="1B5FD58E" w:rsidR="00BA4BA6" w:rsidRDefault="00BA4BA6" w:rsidP="00F64728">
            <w:pPr>
              <w:spacing w:line="480" w:lineRule="auto"/>
            </w:pPr>
            <w:r>
              <w:rPr>
                <w:noProof/>
              </w:rPr>
              <w:drawing>
                <wp:inline distT="0" distB="0" distL="0" distR="0" wp14:anchorId="46906E1F" wp14:editId="4D91EB08">
                  <wp:extent cx="2286000" cy="22860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7-1.png"/>
                          <pic:cNvPicPr/>
                        </pic:nvPicPr>
                        <pic:blipFill>
                          <a:blip r:embed="rId17">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c>
        <w:tc>
          <w:tcPr>
            <w:tcW w:w="3597" w:type="dxa"/>
          </w:tcPr>
          <w:p w14:paraId="048578BF" w14:textId="7D8C3F80" w:rsidR="00BA4BA6" w:rsidRDefault="00BA4BA6" w:rsidP="00F64728">
            <w:pPr>
              <w:spacing w:line="480" w:lineRule="auto"/>
            </w:pPr>
            <w:r>
              <w:rPr>
                <w:noProof/>
              </w:rPr>
              <w:drawing>
                <wp:inline distT="0" distB="0" distL="0" distR="0" wp14:anchorId="086D1AFF" wp14:editId="25D358E2">
                  <wp:extent cx="2286000" cy="228600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7-2.png"/>
                          <pic:cNvPicPr/>
                        </pic:nvPicPr>
                        <pic:blipFill>
                          <a:blip r:embed="rId1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c>
        <w:tc>
          <w:tcPr>
            <w:tcW w:w="3597" w:type="dxa"/>
          </w:tcPr>
          <w:p w14:paraId="0F75E53F" w14:textId="4D35C27B" w:rsidR="00BA4BA6" w:rsidRDefault="00BA4BA6" w:rsidP="00F64728">
            <w:pPr>
              <w:spacing w:line="480" w:lineRule="auto"/>
            </w:pPr>
            <w:r>
              <w:rPr>
                <w:noProof/>
              </w:rPr>
              <w:drawing>
                <wp:inline distT="0" distB="0" distL="0" distR="0" wp14:anchorId="2272CA51" wp14:editId="1F20F766">
                  <wp:extent cx="2286000" cy="228600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3.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tc>
      </w:tr>
    </w:tbl>
    <w:p w14:paraId="29BFCC06" w14:textId="14899A65" w:rsidR="00BA4BA6" w:rsidRDefault="00DB01F8" w:rsidP="00F64728">
      <w:pPr>
        <w:spacing w:line="480" w:lineRule="auto"/>
      </w:pPr>
      <w:r>
        <w:tab/>
        <w:t xml:space="preserve">There are many statistical outliers in both price and square foot living space. This would explain the variance between the median price and the mean price and further demonstrates the relationship between price and square footage. As observed in the scatterplots, the age of </w:t>
      </w:r>
      <w:r>
        <w:lastRenderedPageBreak/>
        <w:t>the properties is well distributed with a slight skew towards younger homes.</w:t>
      </w:r>
      <w:r w:rsidR="00933131">
        <w:t xml:space="preserve"> Even more information about the qualities of this data set and their relationship with price can be seen by subdividing the box plots by factors.</w:t>
      </w:r>
    </w:p>
    <w:p w14:paraId="7DF4C88A" w14:textId="28A84E43" w:rsidR="00A81238" w:rsidRDefault="00A81238" w:rsidP="00F64728">
      <w:pPr>
        <w:spacing w:line="480" w:lineRule="auto"/>
      </w:pPr>
      <w:r>
        <w:tab/>
      </w:r>
      <w:r w:rsidRPr="00A81238">
        <w:t xml:space="preserve">Further </w:t>
      </w:r>
      <w:r>
        <w:t xml:space="preserve">exploration of </w:t>
      </w:r>
      <w:r w:rsidRPr="00A81238">
        <w:t>the different features using box</w:t>
      </w:r>
      <w:r>
        <w:t xml:space="preserve"> </w:t>
      </w:r>
      <w:r w:rsidRPr="00A81238">
        <w:t xml:space="preserve">plots, we can see that among houses with </w:t>
      </w:r>
      <w:r>
        <w:t>a lower number of bedrooms have more outliers in pricing</w:t>
      </w:r>
      <w:r w:rsidRPr="00A81238">
        <w:t xml:space="preserve"> whereas once we reach </w:t>
      </w:r>
      <w:r>
        <w:t xml:space="preserve">the </w:t>
      </w:r>
      <w:r w:rsidRPr="00A81238">
        <w:t>8 bedrooms subgroup and above there are no statistical outliers</w:t>
      </w:r>
      <w:r>
        <w:t xml:space="preserve"> for price</w:t>
      </w:r>
      <w:r w:rsidRPr="00A81238">
        <w:t>.</w:t>
      </w:r>
      <w:r w:rsidR="006C4075">
        <w:t xml:space="preserve"> </w:t>
      </w:r>
      <w:r w:rsidR="006C4075">
        <w:rPr>
          <w:color w:val="000000"/>
        </w:rPr>
        <w:t>We also observe that if the grade of the house i.e. the construction and design of the house is of superior quality, the selling price for the house is more.</w:t>
      </w:r>
      <w:r w:rsidR="00124AE2">
        <w:rPr>
          <w:color w:val="000000"/>
        </w:rPr>
        <w:t xml:space="preserve"> As the condition of the house is relative both grade and age of the property, that relationship between grade and price flattens under the condition factor.</w:t>
      </w:r>
      <w:r w:rsidR="00D579CE">
        <w:rPr>
          <w:color w:val="000000"/>
        </w:rPr>
        <w:t xml:space="preserve"> The box plots for waterfront and view demonstrate that houses with better views and those overlooking a waterfront are costlier as expected. King County has the potential for a lot of good views and the prices in the data set reflect that relationship.</w:t>
      </w:r>
    </w:p>
    <w:p w14:paraId="2E547651" w14:textId="33E6955C" w:rsidR="00933131" w:rsidRDefault="00933131" w:rsidP="00F64728">
      <w:pPr>
        <w:spacing w:line="480" w:lineRule="auto"/>
      </w:pPr>
      <w:r>
        <w:rPr>
          <w:noProof/>
        </w:rPr>
        <w:lastRenderedPageBreak/>
        <w:drawing>
          <wp:inline distT="0" distB="0" distL="0" distR="0" wp14:anchorId="59A6D8FB" wp14:editId="26EBD9E7">
            <wp:extent cx="6858000" cy="5029200"/>
            <wp:effectExtent l="0" t="0" r="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8.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5029200"/>
                    </a:xfrm>
                    <a:prstGeom prst="rect">
                      <a:avLst/>
                    </a:prstGeom>
                  </pic:spPr>
                </pic:pic>
              </a:graphicData>
            </a:graphic>
          </wp:inline>
        </w:drawing>
      </w:r>
    </w:p>
    <w:p w14:paraId="2FFCB02E" w14:textId="15A58EB7" w:rsidR="00FE5719" w:rsidRDefault="00FE5719" w:rsidP="00F64728">
      <w:pPr>
        <w:spacing w:line="480" w:lineRule="auto"/>
      </w:pPr>
      <w:r>
        <w:tab/>
        <w:t>Lastly, we explored the seasonality of sales by plotting the average price per month. Sale price averages ranged between a little over $560000 and $510000, with February seeing the lowest average price and April seeing the highest average price.</w:t>
      </w:r>
    </w:p>
    <w:p w14:paraId="0B60AEC4" w14:textId="4CAA9408" w:rsidR="00617015" w:rsidRDefault="00617015" w:rsidP="008F7100">
      <w:pPr>
        <w:spacing w:line="480" w:lineRule="auto"/>
        <w:jc w:val="center"/>
      </w:pPr>
      <w:r>
        <w:rPr>
          <w:noProof/>
        </w:rPr>
        <w:lastRenderedPageBreak/>
        <w:drawing>
          <wp:inline distT="0" distB="0" distL="0" distR="0" wp14:anchorId="55891DEB" wp14:editId="4F617B98">
            <wp:extent cx="4782217" cy="2600688"/>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9.png"/>
                    <pic:cNvPicPr/>
                  </pic:nvPicPr>
                  <pic:blipFill>
                    <a:blip r:embed="rId21">
                      <a:extLst>
                        <a:ext uri="{28A0092B-C50C-407E-A947-70E740481C1C}">
                          <a14:useLocalDpi xmlns:a14="http://schemas.microsoft.com/office/drawing/2010/main" val="0"/>
                        </a:ext>
                      </a:extLst>
                    </a:blip>
                    <a:stretch>
                      <a:fillRect/>
                    </a:stretch>
                  </pic:blipFill>
                  <pic:spPr>
                    <a:xfrm>
                      <a:off x="0" y="0"/>
                      <a:ext cx="4782217" cy="2600688"/>
                    </a:xfrm>
                    <a:prstGeom prst="rect">
                      <a:avLst/>
                    </a:prstGeom>
                  </pic:spPr>
                </pic:pic>
              </a:graphicData>
            </a:graphic>
          </wp:inline>
        </w:drawing>
      </w:r>
    </w:p>
    <w:p w14:paraId="46FDD0AC" w14:textId="6002811B" w:rsidR="008F7100" w:rsidRDefault="008F7100" w:rsidP="008F7100">
      <w:pPr>
        <w:pStyle w:val="Heading2"/>
      </w:pPr>
      <w:r>
        <w:t>Classification</w:t>
      </w:r>
    </w:p>
    <w:p w14:paraId="5B1FC3C5" w14:textId="7E48BAEA" w:rsidR="00F82793" w:rsidRPr="00F82793" w:rsidRDefault="00F82793" w:rsidP="00F82793">
      <w:pPr>
        <w:pStyle w:val="Heading3"/>
      </w:pPr>
      <w:r>
        <w:t>Decision Trees</w:t>
      </w:r>
    </w:p>
    <w:p w14:paraId="2A6F4CF2" w14:textId="081A165B" w:rsidR="00170E51" w:rsidRDefault="008F7100" w:rsidP="00CE55B4">
      <w:pPr>
        <w:spacing w:line="480" w:lineRule="auto"/>
        <w:ind w:firstLine="720"/>
      </w:pPr>
      <w:r>
        <w:t>We used the classification tree model to further validate predictors that are of most value in predicting selling price. As price is a continuous attribute, we divided the prices into bins and added controls such as maxdepth = 3</w:t>
      </w:r>
      <w:r w:rsidR="005E3A3A">
        <w:t xml:space="preserve"> and </w:t>
      </w:r>
      <w:r>
        <w:t>minsplit = 1</w:t>
      </w:r>
      <w:r w:rsidR="005E3A3A">
        <w:t xml:space="preserve"> for computational simplicity</w:t>
      </w:r>
      <w:r>
        <w:t xml:space="preserve">. Our first thought was to see how the tree looks like with all attributes, but it </w:t>
      </w:r>
      <w:r w:rsidR="00170E51">
        <w:t xml:space="preserve">turned out that it did not </w:t>
      </w:r>
      <w:r>
        <w:t xml:space="preserve">make sense as </w:t>
      </w:r>
      <w:r w:rsidR="00170E51">
        <w:t>many of the attributes were of little use</w:t>
      </w:r>
      <w:r>
        <w:t xml:space="preserve">. </w:t>
      </w:r>
    </w:p>
    <w:p w14:paraId="734F3E48" w14:textId="5F1FB086" w:rsidR="00170E51" w:rsidRDefault="008F7100" w:rsidP="00CE55B4">
      <w:pPr>
        <w:spacing w:line="480" w:lineRule="auto"/>
        <w:ind w:firstLine="720"/>
      </w:pPr>
      <w:r>
        <w:t xml:space="preserve">We generated classification tree 1 using bedrooms and bathrooms and classification tree 2 using attributes that have good correlation coefficient </w:t>
      </w:r>
      <w:r w:rsidR="00170E51">
        <w:t>from the correlation matrix</w:t>
      </w:r>
      <w:r>
        <w:t xml:space="preserve"> and found that grade, </w:t>
      </w:r>
      <w:r w:rsidR="00170E51">
        <w:t>square footage of living space</w:t>
      </w:r>
      <w:r>
        <w:t xml:space="preserve">, </w:t>
      </w:r>
      <w:r w:rsidR="00170E51">
        <w:t>and square footage of the lot</w:t>
      </w:r>
      <w:r>
        <w:t xml:space="preserve"> are</w:t>
      </w:r>
      <w:r w:rsidR="00170E51">
        <w:t xml:space="preserve"> </w:t>
      </w:r>
      <w:r>
        <w:t xml:space="preserve">more important predictors as compared to bedrooms and bathrooms. </w:t>
      </w:r>
    </w:p>
    <w:p w14:paraId="4FA3BA7A" w14:textId="77777777" w:rsidR="00D678C8" w:rsidRDefault="00D678C8" w:rsidP="00D678C8">
      <w:pPr>
        <w:keepNext/>
        <w:spacing w:line="480" w:lineRule="auto"/>
        <w:jc w:val="center"/>
      </w:pPr>
      <w:r>
        <w:rPr>
          <w:noProof/>
        </w:rPr>
        <w:lastRenderedPageBreak/>
        <w:drawing>
          <wp:inline distT="0" distB="0" distL="0" distR="0" wp14:anchorId="7FA15569" wp14:editId="72777F13">
            <wp:extent cx="5249008" cy="2362530"/>
            <wp:effectExtent l="0" t="0" r="889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11.png"/>
                    <pic:cNvPicPr/>
                  </pic:nvPicPr>
                  <pic:blipFill>
                    <a:blip r:embed="rId22">
                      <a:extLst>
                        <a:ext uri="{28A0092B-C50C-407E-A947-70E740481C1C}">
                          <a14:useLocalDpi xmlns:a14="http://schemas.microsoft.com/office/drawing/2010/main" val="0"/>
                        </a:ext>
                      </a:extLst>
                    </a:blip>
                    <a:stretch>
                      <a:fillRect/>
                    </a:stretch>
                  </pic:blipFill>
                  <pic:spPr>
                    <a:xfrm>
                      <a:off x="0" y="0"/>
                      <a:ext cx="5249008" cy="2362530"/>
                    </a:xfrm>
                    <a:prstGeom prst="rect">
                      <a:avLst/>
                    </a:prstGeom>
                  </pic:spPr>
                </pic:pic>
              </a:graphicData>
            </a:graphic>
          </wp:inline>
        </w:drawing>
      </w:r>
    </w:p>
    <w:p w14:paraId="5DC3FF7C" w14:textId="1DB1F18E" w:rsidR="00D678C8" w:rsidRDefault="00D678C8" w:rsidP="00D678C8">
      <w:pPr>
        <w:pStyle w:val="Caption"/>
        <w:jc w:val="center"/>
      </w:pPr>
      <w:r>
        <w:t xml:space="preserve">Classification Tree 1 </w:t>
      </w:r>
    </w:p>
    <w:p w14:paraId="0EE8159D" w14:textId="77777777" w:rsidR="00D678C8" w:rsidRDefault="00D678C8" w:rsidP="00D678C8">
      <w:pPr>
        <w:keepNext/>
        <w:jc w:val="center"/>
      </w:pPr>
      <w:r>
        <w:rPr>
          <w:noProof/>
        </w:rPr>
        <w:drawing>
          <wp:inline distT="0" distB="0" distL="0" distR="0" wp14:anchorId="44E2D638" wp14:editId="4A1435BF">
            <wp:extent cx="5249008" cy="236253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12.png"/>
                    <pic:cNvPicPr/>
                  </pic:nvPicPr>
                  <pic:blipFill>
                    <a:blip r:embed="rId23">
                      <a:extLst>
                        <a:ext uri="{28A0092B-C50C-407E-A947-70E740481C1C}">
                          <a14:useLocalDpi xmlns:a14="http://schemas.microsoft.com/office/drawing/2010/main" val="0"/>
                        </a:ext>
                      </a:extLst>
                    </a:blip>
                    <a:stretch>
                      <a:fillRect/>
                    </a:stretch>
                  </pic:blipFill>
                  <pic:spPr>
                    <a:xfrm>
                      <a:off x="0" y="0"/>
                      <a:ext cx="5249008" cy="2362530"/>
                    </a:xfrm>
                    <a:prstGeom prst="rect">
                      <a:avLst/>
                    </a:prstGeom>
                  </pic:spPr>
                </pic:pic>
              </a:graphicData>
            </a:graphic>
          </wp:inline>
        </w:drawing>
      </w:r>
    </w:p>
    <w:p w14:paraId="4E8CA090" w14:textId="34D93FB7" w:rsidR="00D678C8" w:rsidRPr="00D678C8" w:rsidRDefault="00D678C8" w:rsidP="00D678C8">
      <w:pPr>
        <w:pStyle w:val="Caption"/>
        <w:jc w:val="center"/>
      </w:pPr>
      <w:r>
        <w:t xml:space="preserve">Classification Tree 2 </w:t>
      </w:r>
    </w:p>
    <w:p w14:paraId="26EBDC2E" w14:textId="0C3A3E8F" w:rsidR="008F7100" w:rsidRDefault="00170E51" w:rsidP="00CE55B4">
      <w:pPr>
        <w:spacing w:line="480" w:lineRule="auto"/>
        <w:ind w:firstLine="720"/>
      </w:pPr>
      <w:r>
        <w:t>T</w:t>
      </w:r>
      <w:r w:rsidR="008F7100">
        <w:t xml:space="preserve">he </w:t>
      </w:r>
      <w:r>
        <w:t>p</w:t>
      </w:r>
      <w:r w:rsidR="008F7100">
        <w:t xml:space="preserve">rediction </w:t>
      </w:r>
      <w:r>
        <w:t>a</w:t>
      </w:r>
      <w:r w:rsidR="008F7100">
        <w:t xml:space="preserve">ccuracy when calculated using </w:t>
      </w:r>
      <w:r>
        <w:t xml:space="preserve">a </w:t>
      </w:r>
      <w:r w:rsidR="008F7100">
        <w:t>Confusion Matrix for classification tree 1 and 2 come out to be 3.21% and 4.15% respectively which is a lot lower from what we expected. We generated a couple of more classification trees with different predictors but the accuracy for all remained between 3% to 4%.</w:t>
      </w:r>
      <w:r w:rsidR="005E3A3A">
        <w:t xml:space="preserve"> This may be due to the limitation of depth for the trees.</w:t>
      </w:r>
    </w:p>
    <w:p w14:paraId="3F291D50" w14:textId="448CBF1F" w:rsidR="008F7100" w:rsidRDefault="008F7100" w:rsidP="00CE55B4">
      <w:pPr>
        <w:spacing w:line="480" w:lineRule="auto"/>
        <w:ind w:firstLine="720"/>
      </w:pPr>
      <w:r>
        <w:t xml:space="preserve">We then generated a regression tree, for which we did not convert the prices into bins and found that the most dominant predictors are grade and square footage of living space. This </w:t>
      </w:r>
      <w:r>
        <w:lastRenderedPageBreak/>
        <w:t>aligned with our insights from the classification trees as well. We calculated RMSE whose value came out to be 257242.2 which is very high, so its accuracy for prediction is low as well.</w:t>
      </w:r>
    </w:p>
    <w:p w14:paraId="668CCED8" w14:textId="5C14F763" w:rsidR="001C285D" w:rsidRDefault="001C285D" w:rsidP="001C285D">
      <w:pPr>
        <w:spacing w:line="480" w:lineRule="auto"/>
        <w:jc w:val="center"/>
      </w:pPr>
      <w:r>
        <w:rPr>
          <w:noProof/>
        </w:rPr>
        <w:drawing>
          <wp:inline distT="0" distB="0" distL="0" distR="0" wp14:anchorId="2B637200" wp14:editId="173234BD">
            <wp:extent cx="5249008" cy="2362530"/>
            <wp:effectExtent l="0" t="0" r="889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3.png"/>
                    <pic:cNvPicPr/>
                  </pic:nvPicPr>
                  <pic:blipFill>
                    <a:blip r:embed="rId24">
                      <a:extLst>
                        <a:ext uri="{28A0092B-C50C-407E-A947-70E740481C1C}">
                          <a14:useLocalDpi xmlns:a14="http://schemas.microsoft.com/office/drawing/2010/main" val="0"/>
                        </a:ext>
                      </a:extLst>
                    </a:blip>
                    <a:stretch>
                      <a:fillRect/>
                    </a:stretch>
                  </pic:blipFill>
                  <pic:spPr>
                    <a:xfrm>
                      <a:off x="0" y="0"/>
                      <a:ext cx="5249008" cy="2362530"/>
                    </a:xfrm>
                    <a:prstGeom prst="rect">
                      <a:avLst/>
                    </a:prstGeom>
                  </pic:spPr>
                </pic:pic>
              </a:graphicData>
            </a:graphic>
          </wp:inline>
        </w:drawing>
      </w:r>
    </w:p>
    <w:p w14:paraId="390D87F0" w14:textId="40205FF8" w:rsidR="00F82793" w:rsidRDefault="00F82793" w:rsidP="00F82793">
      <w:pPr>
        <w:pStyle w:val="Heading3"/>
      </w:pPr>
      <w:r>
        <w:t>K-Nearest Neighbor</w:t>
      </w:r>
    </w:p>
    <w:p w14:paraId="350E7C72" w14:textId="3C44E43C" w:rsidR="00CE55B4" w:rsidRDefault="00CE55B4" w:rsidP="00CE55B4">
      <w:pPr>
        <w:spacing w:line="480" w:lineRule="auto"/>
      </w:pPr>
      <w:r>
        <w:tab/>
        <w:t>Our next attempt at using a classification model was with the k-nearest neighbor method. Once again, we split the prices into bins for classification. This time, we also tested various bin sizes and as expected, the larger the bin size, the more accurate the prediction.</w:t>
      </w:r>
      <w:r w:rsidR="003104AD">
        <w:t xml:space="preserve"> It is notable that the classification performance improved with the same bin sizes over the decision trees from around 4% to over 40%.</w:t>
      </w:r>
    </w:p>
    <w:tbl>
      <w:tblPr>
        <w:tblW w:w="7960" w:type="dxa"/>
        <w:jc w:val="center"/>
        <w:tblBorders>
          <w:top w:val="single" w:sz="4" w:space="0" w:color="5E5E5E" w:themeColor="text2"/>
          <w:left w:val="single" w:sz="4" w:space="0" w:color="5E5E5E" w:themeColor="text2"/>
          <w:bottom w:val="single" w:sz="4" w:space="0" w:color="5E5E5E" w:themeColor="text2"/>
          <w:right w:val="single" w:sz="4" w:space="0" w:color="5E5E5E" w:themeColor="text2"/>
          <w:insideH w:val="single" w:sz="4" w:space="0" w:color="5E5E5E" w:themeColor="text2"/>
          <w:insideV w:val="single" w:sz="4" w:space="0" w:color="5E5E5E" w:themeColor="text2"/>
        </w:tblBorders>
        <w:tblLook w:val="04A0" w:firstRow="1" w:lastRow="0" w:firstColumn="1" w:lastColumn="0" w:noHBand="0" w:noVBand="1"/>
      </w:tblPr>
      <w:tblGrid>
        <w:gridCol w:w="2180"/>
        <w:gridCol w:w="3180"/>
        <w:gridCol w:w="2600"/>
      </w:tblGrid>
      <w:tr w:rsidR="00CE55B4" w:rsidRPr="00C675D3" w14:paraId="57A0C453" w14:textId="77777777" w:rsidTr="00541910">
        <w:trPr>
          <w:trHeight w:val="330"/>
          <w:jc w:val="center"/>
        </w:trPr>
        <w:tc>
          <w:tcPr>
            <w:tcW w:w="2180" w:type="dxa"/>
            <w:shd w:val="clear" w:color="auto" w:fill="auto"/>
            <w:noWrap/>
            <w:vAlign w:val="center"/>
            <w:hideMark/>
          </w:tcPr>
          <w:p w14:paraId="3C3E07EC" w14:textId="77777777" w:rsidR="00CE55B4" w:rsidRPr="00C675D3" w:rsidRDefault="00CE55B4" w:rsidP="00C675D3">
            <w:pPr>
              <w:rPr>
                <w:rFonts w:eastAsia="Times New Roman"/>
                <w:b/>
                <w:bCs/>
                <w:color w:val="000000"/>
                <w:sz w:val="22"/>
              </w:rPr>
            </w:pPr>
            <w:r w:rsidRPr="00C675D3">
              <w:rPr>
                <w:rFonts w:eastAsia="Times New Roman"/>
                <w:b/>
                <w:bCs/>
                <w:color w:val="000000"/>
                <w:sz w:val="22"/>
              </w:rPr>
              <w:t>Price bins</w:t>
            </w:r>
          </w:p>
        </w:tc>
        <w:tc>
          <w:tcPr>
            <w:tcW w:w="3180" w:type="dxa"/>
            <w:shd w:val="clear" w:color="auto" w:fill="auto"/>
            <w:noWrap/>
            <w:vAlign w:val="center"/>
            <w:hideMark/>
          </w:tcPr>
          <w:p w14:paraId="32C2C8B8" w14:textId="77777777" w:rsidR="00CE55B4" w:rsidRPr="00C675D3" w:rsidRDefault="00CE55B4" w:rsidP="00C675D3">
            <w:pPr>
              <w:rPr>
                <w:rFonts w:eastAsia="Times New Roman"/>
                <w:b/>
                <w:bCs/>
                <w:color w:val="000000"/>
                <w:sz w:val="22"/>
              </w:rPr>
            </w:pPr>
            <w:r w:rsidRPr="00C675D3">
              <w:rPr>
                <w:rFonts w:eastAsia="Times New Roman"/>
                <w:b/>
                <w:bCs/>
                <w:color w:val="000000"/>
                <w:sz w:val="22"/>
              </w:rPr>
              <w:t>K</w:t>
            </w:r>
          </w:p>
        </w:tc>
        <w:tc>
          <w:tcPr>
            <w:tcW w:w="2600" w:type="dxa"/>
            <w:shd w:val="clear" w:color="auto" w:fill="auto"/>
            <w:noWrap/>
            <w:vAlign w:val="center"/>
            <w:hideMark/>
          </w:tcPr>
          <w:p w14:paraId="759B0877" w14:textId="77777777" w:rsidR="00CE55B4" w:rsidRPr="00C675D3" w:rsidRDefault="00CE55B4" w:rsidP="00C675D3">
            <w:pPr>
              <w:rPr>
                <w:rFonts w:eastAsia="Times New Roman"/>
                <w:b/>
                <w:bCs/>
                <w:color w:val="000000"/>
                <w:sz w:val="22"/>
              </w:rPr>
            </w:pPr>
            <w:r w:rsidRPr="00C675D3">
              <w:rPr>
                <w:rFonts w:eastAsia="Times New Roman"/>
                <w:b/>
                <w:bCs/>
                <w:color w:val="000000"/>
                <w:sz w:val="22"/>
              </w:rPr>
              <w:t>KNN Result</w:t>
            </w:r>
          </w:p>
        </w:tc>
      </w:tr>
      <w:tr w:rsidR="00CE55B4" w:rsidRPr="00C675D3" w14:paraId="0940558C" w14:textId="77777777" w:rsidTr="00541910">
        <w:trPr>
          <w:trHeight w:val="330"/>
          <w:jc w:val="center"/>
        </w:trPr>
        <w:tc>
          <w:tcPr>
            <w:tcW w:w="2180" w:type="dxa"/>
            <w:shd w:val="clear" w:color="auto" w:fill="auto"/>
            <w:noWrap/>
            <w:vAlign w:val="center"/>
            <w:hideMark/>
          </w:tcPr>
          <w:p w14:paraId="4D98912C" w14:textId="77777777" w:rsidR="00CE55B4" w:rsidRPr="00C675D3" w:rsidRDefault="00CE55B4" w:rsidP="00C675D3">
            <w:pPr>
              <w:rPr>
                <w:rFonts w:eastAsia="Times New Roman"/>
                <w:color w:val="000000"/>
                <w:sz w:val="22"/>
              </w:rPr>
            </w:pPr>
            <w:r w:rsidRPr="00C675D3">
              <w:rPr>
                <w:rFonts w:eastAsia="Times New Roman"/>
                <w:color w:val="000000"/>
                <w:sz w:val="22"/>
              </w:rPr>
              <w:t>100,000</w:t>
            </w:r>
          </w:p>
        </w:tc>
        <w:tc>
          <w:tcPr>
            <w:tcW w:w="3180" w:type="dxa"/>
            <w:shd w:val="clear" w:color="auto" w:fill="auto"/>
            <w:noWrap/>
            <w:vAlign w:val="center"/>
            <w:hideMark/>
          </w:tcPr>
          <w:p w14:paraId="710629D6"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147FE351" w14:textId="77777777" w:rsidR="00CE55B4" w:rsidRPr="00C675D3" w:rsidRDefault="00CE55B4" w:rsidP="00C675D3">
            <w:pPr>
              <w:rPr>
                <w:rFonts w:eastAsia="Times New Roman"/>
                <w:color w:val="000000"/>
                <w:sz w:val="22"/>
              </w:rPr>
            </w:pPr>
            <w:r w:rsidRPr="00C675D3">
              <w:rPr>
                <w:rFonts w:eastAsia="Times New Roman"/>
                <w:color w:val="000000"/>
                <w:sz w:val="22"/>
              </w:rPr>
              <w:t>Ranges from 40 to 45%</w:t>
            </w:r>
          </w:p>
        </w:tc>
      </w:tr>
      <w:tr w:rsidR="00CE55B4" w:rsidRPr="00C675D3" w14:paraId="09A1A8EE" w14:textId="77777777" w:rsidTr="00541910">
        <w:trPr>
          <w:trHeight w:val="330"/>
          <w:jc w:val="center"/>
        </w:trPr>
        <w:tc>
          <w:tcPr>
            <w:tcW w:w="2180" w:type="dxa"/>
            <w:shd w:val="clear" w:color="auto" w:fill="auto"/>
            <w:noWrap/>
            <w:vAlign w:val="center"/>
            <w:hideMark/>
          </w:tcPr>
          <w:p w14:paraId="041E9B67" w14:textId="77777777" w:rsidR="00CE55B4" w:rsidRPr="00C675D3" w:rsidRDefault="00CE55B4" w:rsidP="00C675D3">
            <w:pPr>
              <w:rPr>
                <w:rFonts w:eastAsia="Times New Roman"/>
                <w:color w:val="000000"/>
                <w:sz w:val="22"/>
              </w:rPr>
            </w:pPr>
            <w:r w:rsidRPr="00C675D3">
              <w:rPr>
                <w:rFonts w:eastAsia="Times New Roman"/>
                <w:color w:val="000000"/>
                <w:sz w:val="22"/>
              </w:rPr>
              <w:t>200,000</w:t>
            </w:r>
          </w:p>
        </w:tc>
        <w:tc>
          <w:tcPr>
            <w:tcW w:w="3180" w:type="dxa"/>
            <w:shd w:val="clear" w:color="auto" w:fill="auto"/>
            <w:noWrap/>
            <w:vAlign w:val="center"/>
            <w:hideMark/>
          </w:tcPr>
          <w:p w14:paraId="253C7318"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1B182DCC" w14:textId="77777777" w:rsidR="00CE55B4" w:rsidRPr="00C675D3" w:rsidRDefault="00CE55B4" w:rsidP="00C675D3">
            <w:pPr>
              <w:rPr>
                <w:rFonts w:eastAsia="Times New Roman"/>
                <w:color w:val="000000"/>
                <w:sz w:val="22"/>
              </w:rPr>
            </w:pPr>
            <w:r w:rsidRPr="00C675D3">
              <w:rPr>
                <w:rFonts w:eastAsia="Times New Roman"/>
                <w:color w:val="000000"/>
                <w:sz w:val="22"/>
              </w:rPr>
              <w:t>Ranges from 60 to 65%</w:t>
            </w:r>
          </w:p>
        </w:tc>
      </w:tr>
      <w:tr w:rsidR="00CE55B4" w:rsidRPr="00C675D3" w14:paraId="44893A15" w14:textId="77777777" w:rsidTr="00541910">
        <w:trPr>
          <w:trHeight w:val="330"/>
          <w:jc w:val="center"/>
        </w:trPr>
        <w:tc>
          <w:tcPr>
            <w:tcW w:w="2180" w:type="dxa"/>
            <w:shd w:val="clear" w:color="auto" w:fill="auto"/>
            <w:noWrap/>
            <w:vAlign w:val="center"/>
            <w:hideMark/>
          </w:tcPr>
          <w:p w14:paraId="19DA6052" w14:textId="77777777" w:rsidR="00CE55B4" w:rsidRPr="00C675D3" w:rsidRDefault="00CE55B4" w:rsidP="00C675D3">
            <w:pPr>
              <w:rPr>
                <w:rFonts w:eastAsia="Times New Roman"/>
                <w:color w:val="000000"/>
                <w:sz w:val="22"/>
              </w:rPr>
            </w:pPr>
            <w:r w:rsidRPr="00C675D3">
              <w:rPr>
                <w:rFonts w:eastAsia="Times New Roman"/>
                <w:color w:val="000000"/>
                <w:sz w:val="22"/>
              </w:rPr>
              <w:t>300,000</w:t>
            </w:r>
          </w:p>
        </w:tc>
        <w:tc>
          <w:tcPr>
            <w:tcW w:w="3180" w:type="dxa"/>
            <w:shd w:val="clear" w:color="auto" w:fill="auto"/>
            <w:noWrap/>
            <w:vAlign w:val="center"/>
            <w:hideMark/>
          </w:tcPr>
          <w:p w14:paraId="69ADE38E"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4EFFC083" w14:textId="77777777" w:rsidR="00CE55B4" w:rsidRPr="00C675D3" w:rsidRDefault="00CE55B4" w:rsidP="00C675D3">
            <w:pPr>
              <w:rPr>
                <w:rFonts w:eastAsia="Times New Roman"/>
                <w:color w:val="000000"/>
                <w:sz w:val="22"/>
              </w:rPr>
            </w:pPr>
            <w:r w:rsidRPr="00C675D3">
              <w:rPr>
                <w:rFonts w:eastAsia="Times New Roman"/>
                <w:color w:val="000000"/>
                <w:sz w:val="22"/>
              </w:rPr>
              <w:t>Ranges from 70 to 75%</w:t>
            </w:r>
          </w:p>
        </w:tc>
      </w:tr>
      <w:tr w:rsidR="00CE55B4" w:rsidRPr="00C675D3" w14:paraId="48B7F0DC" w14:textId="77777777" w:rsidTr="00541910">
        <w:trPr>
          <w:trHeight w:val="330"/>
          <w:jc w:val="center"/>
        </w:trPr>
        <w:tc>
          <w:tcPr>
            <w:tcW w:w="2180" w:type="dxa"/>
            <w:shd w:val="clear" w:color="auto" w:fill="auto"/>
            <w:noWrap/>
            <w:vAlign w:val="center"/>
            <w:hideMark/>
          </w:tcPr>
          <w:p w14:paraId="5F85FEF6" w14:textId="77777777" w:rsidR="00CE55B4" w:rsidRPr="00C675D3" w:rsidRDefault="00CE55B4" w:rsidP="00C675D3">
            <w:pPr>
              <w:rPr>
                <w:rFonts w:eastAsia="Times New Roman"/>
                <w:color w:val="000000"/>
                <w:sz w:val="22"/>
              </w:rPr>
            </w:pPr>
            <w:r w:rsidRPr="00C675D3">
              <w:rPr>
                <w:rFonts w:eastAsia="Times New Roman"/>
                <w:color w:val="000000"/>
                <w:sz w:val="22"/>
              </w:rPr>
              <w:t>400,000</w:t>
            </w:r>
          </w:p>
        </w:tc>
        <w:tc>
          <w:tcPr>
            <w:tcW w:w="3180" w:type="dxa"/>
            <w:shd w:val="clear" w:color="auto" w:fill="auto"/>
            <w:noWrap/>
            <w:vAlign w:val="center"/>
            <w:hideMark/>
          </w:tcPr>
          <w:p w14:paraId="3292FA36"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4B95B119" w14:textId="77777777" w:rsidR="00CE55B4" w:rsidRPr="00C675D3" w:rsidRDefault="00CE55B4" w:rsidP="00C675D3">
            <w:pPr>
              <w:rPr>
                <w:rFonts w:eastAsia="Times New Roman"/>
                <w:color w:val="000000"/>
                <w:sz w:val="22"/>
              </w:rPr>
            </w:pPr>
            <w:r w:rsidRPr="00C675D3">
              <w:rPr>
                <w:rFonts w:eastAsia="Times New Roman"/>
                <w:color w:val="000000"/>
                <w:sz w:val="22"/>
              </w:rPr>
              <w:t>Ranges from 75 to 80%</w:t>
            </w:r>
          </w:p>
        </w:tc>
      </w:tr>
      <w:tr w:rsidR="00CE55B4" w:rsidRPr="00C675D3" w14:paraId="1733CC3F" w14:textId="77777777" w:rsidTr="00541910">
        <w:trPr>
          <w:trHeight w:val="330"/>
          <w:jc w:val="center"/>
        </w:trPr>
        <w:tc>
          <w:tcPr>
            <w:tcW w:w="2180" w:type="dxa"/>
            <w:shd w:val="clear" w:color="auto" w:fill="auto"/>
            <w:noWrap/>
            <w:vAlign w:val="center"/>
            <w:hideMark/>
          </w:tcPr>
          <w:p w14:paraId="53A00D86" w14:textId="77777777" w:rsidR="00CE55B4" w:rsidRPr="00C675D3" w:rsidRDefault="00CE55B4" w:rsidP="00C675D3">
            <w:pPr>
              <w:rPr>
                <w:rFonts w:eastAsia="Times New Roman"/>
                <w:color w:val="000000"/>
                <w:sz w:val="22"/>
              </w:rPr>
            </w:pPr>
            <w:r w:rsidRPr="00C675D3">
              <w:rPr>
                <w:rFonts w:eastAsia="Times New Roman"/>
                <w:color w:val="000000"/>
                <w:sz w:val="22"/>
              </w:rPr>
              <w:t>500,000</w:t>
            </w:r>
          </w:p>
        </w:tc>
        <w:tc>
          <w:tcPr>
            <w:tcW w:w="3180" w:type="dxa"/>
            <w:shd w:val="clear" w:color="auto" w:fill="auto"/>
            <w:noWrap/>
            <w:vAlign w:val="center"/>
            <w:hideMark/>
          </w:tcPr>
          <w:p w14:paraId="3E33B335"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606ED6D0" w14:textId="77777777" w:rsidR="00CE55B4" w:rsidRPr="00C675D3" w:rsidRDefault="00CE55B4" w:rsidP="00C675D3">
            <w:pPr>
              <w:rPr>
                <w:rFonts w:eastAsia="Times New Roman"/>
                <w:color w:val="000000"/>
                <w:sz w:val="22"/>
              </w:rPr>
            </w:pPr>
            <w:r w:rsidRPr="00C675D3">
              <w:rPr>
                <w:rFonts w:eastAsia="Times New Roman"/>
                <w:color w:val="000000"/>
                <w:sz w:val="22"/>
              </w:rPr>
              <w:t>Around 82 to 83 %</w:t>
            </w:r>
          </w:p>
        </w:tc>
      </w:tr>
      <w:tr w:rsidR="00CE55B4" w:rsidRPr="00C675D3" w14:paraId="3BB88C54" w14:textId="77777777" w:rsidTr="00541910">
        <w:trPr>
          <w:trHeight w:val="330"/>
          <w:jc w:val="center"/>
        </w:trPr>
        <w:tc>
          <w:tcPr>
            <w:tcW w:w="2180" w:type="dxa"/>
            <w:shd w:val="clear" w:color="auto" w:fill="auto"/>
            <w:noWrap/>
            <w:vAlign w:val="center"/>
            <w:hideMark/>
          </w:tcPr>
          <w:p w14:paraId="392F48D5" w14:textId="77777777" w:rsidR="00CE55B4" w:rsidRPr="00C675D3" w:rsidRDefault="00CE55B4" w:rsidP="00C675D3">
            <w:pPr>
              <w:rPr>
                <w:rFonts w:eastAsia="Times New Roman"/>
                <w:color w:val="000000"/>
                <w:sz w:val="22"/>
              </w:rPr>
            </w:pPr>
            <w:r w:rsidRPr="00C675D3">
              <w:rPr>
                <w:rFonts w:eastAsia="Times New Roman"/>
                <w:color w:val="000000"/>
                <w:sz w:val="22"/>
              </w:rPr>
              <w:t>600,000</w:t>
            </w:r>
          </w:p>
        </w:tc>
        <w:tc>
          <w:tcPr>
            <w:tcW w:w="3180" w:type="dxa"/>
            <w:shd w:val="clear" w:color="auto" w:fill="auto"/>
            <w:noWrap/>
            <w:vAlign w:val="center"/>
            <w:hideMark/>
          </w:tcPr>
          <w:p w14:paraId="6609D2D7"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21EA7C8A" w14:textId="77777777" w:rsidR="00CE55B4" w:rsidRPr="00C675D3" w:rsidRDefault="00CE55B4" w:rsidP="00C675D3">
            <w:pPr>
              <w:rPr>
                <w:rFonts w:eastAsia="Times New Roman"/>
                <w:color w:val="000000"/>
                <w:sz w:val="22"/>
              </w:rPr>
            </w:pPr>
            <w:r w:rsidRPr="00C675D3">
              <w:rPr>
                <w:rFonts w:eastAsia="Times New Roman"/>
                <w:color w:val="000000"/>
                <w:sz w:val="22"/>
              </w:rPr>
              <w:t>Around 84%</w:t>
            </w:r>
          </w:p>
        </w:tc>
      </w:tr>
      <w:tr w:rsidR="00CE55B4" w:rsidRPr="00C675D3" w14:paraId="55187C58" w14:textId="77777777" w:rsidTr="00541910">
        <w:trPr>
          <w:trHeight w:val="330"/>
          <w:jc w:val="center"/>
        </w:trPr>
        <w:tc>
          <w:tcPr>
            <w:tcW w:w="2180" w:type="dxa"/>
            <w:shd w:val="clear" w:color="auto" w:fill="auto"/>
            <w:noWrap/>
            <w:vAlign w:val="center"/>
            <w:hideMark/>
          </w:tcPr>
          <w:p w14:paraId="31EC5652" w14:textId="77777777" w:rsidR="00CE55B4" w:rsidRPr="00C675D3" w:rsidRDefault="00CE55B4" w:rsidP="00C675D3">
            <w:pPr>
              <w:rPr>
                <w:rFonts w:eastAsia="Times New Roman"/>
                <w:color w:val="000000"/>
                <w:sz w:val="22"/>
              </w:rPr>
            </w:pPr>
            <w:r w:rsidRPr="00C675D3">
              <w:rPr>
                <w:rFonts w:eastAsia="Times New Roman"/>
                <w:color w:val="000000"/>
                <w:sz w:val="22"/>
              </w:rPr>
              <w:t>700,000 and above</w:t>
            </w:r>
          </w:p>
        </w:tc>
        <w:tc>
          <w:tcPr>
            <w:tcW w:w="3180" w:type="dxa"/>
            <w:shd w:val="clear" w:color="auto" w:fill="auto"/>
            <w:noWrap/>
            <w:vAlign w:val="center"/>
            <w:hideMark/>
          </w:tcPr>
          <w:p w14:paraId="52B85F87" w14:textId="77777777" w:rsidR="00CE55B4" w:rsidRPr="00C675D3" w:rsidRDefault="00CE55B4" w:rsidP="00C675D3">
            <w:pPr>
              <w:rPr>
                <w:rFonts w:eastAsia="Times New Roman"/>
                <w:color w:val="000000"/>
                <w:sz w:val="22"/>
              </w:rPr>
            </w:pPr>
            <w:r w:rsidRPr="00C675D3">
              <w:rPr>
                <w:rFonts w:eastAsia="Times New Roman"/>
                <w:color w:val="000000"/>
                <w:sz w:val="22"/>
              </w:rPr>
              <w:t>Tried with K between 1 to 20</w:t>
            </w:r>
          </w:p>
        </w:tc>
        <w:tc>
          <w:tcPr>
            <w:tcW w:w="2600" w:type="dxa"/>
            <w:shd w:val="clear" w:color="auto" w:fill="auto"/>
            <w:noWrap/>
            <w:vAlign w:val="center"/>
            <w:hideMark/>
          </w:tcPr>
          <w:p w14:paraId="0635B2C9" w14:textId="77777777" w:rsidR="00CE55B4" w:rsidRPr="00C675D3" w:rsidRDefault="00CE55B4" w:rsidP="00C675D3">
            <w:pPr>
              <w:rPr>
                <w:rFonts w:eastAsia="Times New Roman"/>
                <w:color w:val="000000"/>
                <w:sz w:val="22"/>
              </w:rPr>
            </w:pPr>
            <w:r w:rsidRPr="00C675D3">
              <w:rPr>
                <w:rFonts w:eastAsia="Times New Roman"/>
                <w:color w:val="000000"/>
                <w:sz w:val="22"/>
              </w:rPr>
              <w:t>Around 85%</w:t>
            </w:r>
          </w:p>
        </w:tc>
      </w:tr>
    </w:tbl>
    <w:p w14:paraId="0AC6D81A" w14:textId="12A62412" w:rsidR="00CE55B4" w:rsidRDefault="00CE55B4" w:rsidP="00FE1EDB">
      <w:pPr>
        <w:spacing w:line="480" w:lineRule="auto"/>
      </w:pPr>
    </w:p>
    <w:p w14:paraId="0AC28329" w14:textId="5CF2296B" w:rsidR="00FE1EDB" w:rsidRDefault="00FE1EDB" w:rsidP="00FE1EDB">
      <w:pPr>
        <w:pStyle w:val="Heading2"/>
      </w:pPr>
      <w:r>
        <w:lastRenderedPageBreak/>
        <w:t>Multilinear Regression</w:t>
      </w:r>
    </w:p>
    <w:p w14:paraId="47CE71DA" w14:textId="4B46455A" w:rsidR="003968B7" w:rsidRDefault="003968B7" w:rsidP="003968B7">
      <w:pPr>
        <w:spacing w:line="480" w:lineRule="auto"/>
        <w:ind w:firstLine="720"/>
      </w:pPr>
      <w:r>
        <w:t>For our first model we chose all predictors except id, date. We then split the data with 70% in the training set and the remaining 30% in the validation set.</w:t>
      </w:r>
    </w:p>
    <w:p w14:paraId="512BE036" w14:textId="4335D017" w:rsidR="00FE1EDB" w:rsidRDefault="00363167" w:rsidP="003968B7">
      <w:pPr>
        <w:spacing w:line="480" w:lineRule="auto"/>
        <w:ind w:firstLine="720"/>
      </w:pPr>
      <w:r>
        <w:t xml:space="preserve">The </w:t>
      </w:r>
      <w:r w:rsidR="003968B7">
        <w:t xml:space="preserve">Adjusted R-squared </w:t>
      </w:r>
      <w:r>
        <w:t>for our first model was</w:t>
      </w:r>
      <w:r w:rsidR="003968B7">
        <w:t xml:space="preserve"> 0.7033, and the RMSE of this model </w:t>
      </w:r>
      <w:r w:rsidR="00C849CE">
        <w:t>was</w:t>
      </w:r>
      <w:r w:rsidR="003968B7">
        <w:t xml:space="preserve"> 204826.8. However, when calculating the model’s mean-square error with the validation data, we received the warning message: “prediction from a rank-deficient fit may be misleading”. Investigating this error led us to find that this model ha</w:t>
      </w:r>
      <w:r w:rsidR="00C849CE">
        <w:t>d</w:t>
      </w:r>
      <w:r w:rsidR="003968B7">
        <w:t xml:space="preserve"> multicollinearity. Further investigation showed that the square footage of basement is not defined because of singularities, so we took this variable out to refine the model.</w:t>
      </w:r>
      <w:r w:rsidR="00E905DC">
        <w:t xml:space="preserve"> After running this model again without the basement size, we received the same result but without the warning message.</w:t>
      </w:r>
    </w:p>
    <w:p w14:paraId="6E72C96F" w14:textId="29415DFF" w:rsidR="005A5A5B" w:rsidRDefault="005A5A5B" w:rsidP="005A5A5B">
      <w:pPr>
        <w:spacing w:line="480" w:lineRule="auto"/>
        <w:ind w:firstLine="720"/>
      </w:pPr>
      <w:r>
        <w:t>We next created a model with predictors that had a correlation coefficient with price is greater than 0.3, which came to 11 predictors. The Adjusted R-squared for this model is 0.6615 and the RMSE of is 218882.5. This model also had a warning for multicollinearity.</w:t>
      </w:r>
    </w:p>
    <w:p w14:paraId="4BBFB7FB" w14:textId="3EFF062D" w:rsidR="00CF2020" w:rsidRDefault="00CF2020" w:rsidP="00CF2020">
      <w:pPr>
        <w:spacing w:line="480" w:lineRule="auto"/>
        <w:ind w:firstLine="720"/>
      </w:pPr>
      <w:r>
        <w:t>Lastly, we created a model with predictors that had a correlation coefficient with price greater than 0.5. With this condition, our fourth model ha</w:t>
      </w:r>
      <w:r w:rsidR="00284AE3">
        <w:t>d</w:t>
      </w:r>
      <w:r>
        <w:t xml:space="preserve"> 5 predictors. The Adjusted R-squared </w:t>
      </w:r>
      <w:r w:rsidR="00284AE3">
        <w:t>was</w:t>
      </w:r>
      <w:r>
        <w:t xml:space="preserve"> 0.6124, and the RMSE of this model </w:t>
      </w:r>
      <w:r w:rsidR="00284AE3">
        <w:t>was</w:t>
      </w:r>
      <w:r>
        <w:t xml:space="preserve"> 228963.8</w:t>
      </w:r>
      <w:r w:rsidR="00A405F2">
        <w:t>.</w:t>
      </w:r>
    </w:p>
    <w:tbl>
      <w:tblPr>
        <w:tblStyle w:val="TableGrid"/>
        <w:tblW w:w="0" w:type="auto"/>
        <w:jc w:val="center"/>
        <w:tblLook w:val="04A0" w:firstRow="1" w:lastRow="0" w:firstColumn="1" w:lastColumn="0" w:noHBand="0" w:noVBand="1"/>
      </w:tblPr>
      <w:tblGrid>
        <w:gridCol w:w="1920"/>
        <w:gridCol w:w="2540"/>
        <w:gridCol w:w="1220"/>
        <w:gridCol w:w="3340"/>
      </w:tblGrid>
      <w:tr w:rsidR="00083837" w:rsidRPr="00C675D3" w14:paraId="00BD91D6" w14:textId="77777777" w:rsidTr="00083837">
        <w:trPr>
          <w:trHeight w:val="330"/>
          <w:jc w:val="center"/>
        </w:trPr>
        <w:tc>
          <w:tcPr>
            <w:tcW w:w="1920" w:type="dxa"/>
            <w:noWrap/>
            <w:hideMark/>
          </w:tcPr>
          <w:p w14:paraId="6347DD8E" w14:textId="77777777" w:rsidR="00083837" w:rsidRPr="00C675D3" w:rsidRDefault="00083837" w:rsidP="00083837">
            <w:pPr>
              <w:spacing w:line="480" w:lineRule="auto"/>
              <w:rPr>
                <w:b/>
                <w:bCs/>
                <w:sz w:val="22"/>
              </w:rPr>
            </w:pPr>
            <w:r w:rsidRPr="00C675D3">
              <w:rPr>
                <w:b/>
                <w:bCs/>
                <w:sz w:val="22"/>
              </w:rPr>
              <w:t>Model Number</w:t>
            </w:r>
          </w:p>
        </w:tc>
        <w:tc>
          <w:tcPr>
            <w:tcW w:w="2540" w:type="dxa"/>
            <w:noWrap/>
            <w:hideMark/>
          </w:tcPr>
          <w:p w14:paraId="570B8BB1" w14:textId="77777777" w:rsidR="00083837" w:rsidRPr="00C675D3" w:rsidRDefault="00083837" w:rsidP="00083837">
            <w:pPr>
              <w:spacing w:line="480" w:lineRule="auto"/>
              <w:rPr>
                <w:b/>
                <w:bCs/>
                <w:sz w:val="22"/>
              </w:rPr>
            </w:pPr>
            <w:r w:rsidRPr="00C675D3">
              <w:rPr>
                <w:b/>
                <w:bCs/>
                <w:sz w:val="22"/>
              </w:rPr>
              <w:t>Adjusted R-squared </w:t>
            </w:r>
          </w:p>
        </w:tc>
        <w:tc>
          <w:tcPr>
            <w:tcW w:w="1220" w:type="dxa"/>
            <w:noWrap/>
            <w:hideMark/>
          </w:tcPr>
          <w:p w14:paraId="70FAEFD9" w14:textId="77777777" w:rsidR="00083837" w:rsidRPr="00C675D3" w:rsidRDefault="00083837" w:rsidP="00083837">
            <w:pPr>
              <w:spacing w:line="480" w:lineRule="auto"/>
              <w:rPr>
                <w:b/>
                <w:bCs/>
                <w:sz w:val="22"/>
              </w:rPr>
            </w:pPr>
            <w:r w:rsidRPr="00C675D3">
              <w:rPr>
                <w:b/>
                <w:bCs/>
                <w:sz w:val="22"/>
              </w:rPr>
              <w:t>RMSE</w:t>
            </w:r>
          </w:p>
        </w:tc>
        <w:tc>
          <w:tcPr>
            <w:tcW w:w="3340" w:type="dxa"/>
            <w:noWrap/>
            <w:hideMark/>
          </w:tcPr>
          <w:p w14:paraId="65D03CE9" w14:textId="77777777" w:rsidR="00083837" w:rsidRPr="00C675D3" w:rsidRDefault="00083837" w:rsidP="00083837">
            <w:pPr>
              <w:spacing w:line="480" w:lineRule="auto"/>
              <w:rPr>
                <w:b/>
                <w:bCs/>
                <w:sz w:val="22"/>
              </w:rPr>
            </w:pPr>
            <w:r w:rsidRPr="00C675D3">
              <w:rPr>
                <w:b/>
                <w:bCs/>
                <w:sz w:val="22"/>
              </w:rPr>
              <w:t>Notes</w:t>
            </w:r>
          </w:p>
        </w:tc>
      </w:tr>
      <w:tr w:rsidR="00083837" w:rsidRPr="00C675D3" w14:paraId="22C379AE" w14:textId="77777777" w:rsidTr="00083837">
        <w:trPr>
          <w:trHeight w:val="330"/>
          <w:jc w:val="center"/>
        </w:trPr>
        <w:tc>
          <w:tcPr>
            <w:tcW w:w="1920" w:type="dxa"/>
            <w:noWrap/>
            <w:hideMark/>
          </w:tcPr>
          <w:p w14:paraId="03907465" w14:textId="77777777" w:rsidR="00083837" w:rsidRPr="00C675D3" w:rsidRDefault="00083837" w:rsidP="00C675D3">
            <w:pPr>
              <w:rPr>
                <w:sz w:val="22"/>
              </w:rPr>
            </w:pPr>
            <w:r w:rsidRPr="00C675D3">
              <w:rPr>
                <w:sz w:val="22"/>
              </w:rPr>
              <w:t>Model 1</w:t>
            </w:r>
          </w:p>
        </w:tc>
        <w:tc>
          <w:tcPr>
            <w:tcW w:w="2540" w:type="dxa"/>
            <w:noWrap/>
            <w:hideMark/>
          </w:tcPr>
          <w:p w14:paraId="57CDFC44" w14:textId="77777777" w:rsidR="00083837" w:rsidRPr="00C675D3" w:rsidRDefault="00083837" w:rsidP="00C675D3">
            <w:pPr>
              <w:rPr>
                <w:sz w:val="22"/>
              </w:rPr>
            </w:pPr>
            <w:r w:rsidRPr="00C675D3">
              <w:rPr>
                <w:sz w:val="22"/>
              </w:rPr>
              <w:t>0.7033</w:t>
            </w:r>
          </w:p>
        </w:tc>
        <w:tc>
          <w:tcPr>
            <w:tcW w:w="1220" w:type="dxa"/>
            <w:noWrap/>
            <w:hideMark/>
          </w:tcPr>
          <w:p w14:paraId="14539D2C" w14:textId="77777777" w:rsidR="00083837" w:rsidRPr="00C675D3" w:rsidRDefault="00083837" w:rsidP="00C675D3">
            <w:pPr>
              <w:rPr>
                <w:sz w:val="22"/>
              </w:rPr>
            </w:pPr>
            <w:r w:rsidRPr="00C675D3">
              <w:rPr>
                <w:sz w:val="22"/>
              </w:rPr>
              <w:t>204826.8</w:t>
            </w:r>
          </w:p>
        </w:tc>
        <w:tc>
          <w:tcPr>
            <w:tcW w:w="3340" w:type="dxa"/>
            <w:noWrap/>
            <w:hideMark/>
          </w:tcPr>
          <w:p w14:paraId="66C15AC1" w14:textId="45C0EE29" w:rsidR="00083837" w:rsidRPr="00C675D3" w:rsidRDefault="00C675D3" w:rsidP="00C675D3">
            <w:pPr>
              <w:rPr>
                <w:sz w:val="22"/>
              </w:rPr>
            </w:pPr>
            <w:r w:rsidRPr="00C675D3">
              <w:rPr>
                <w:sz w:val="22"/>
              </w:rPr>
              <w:t>m</w:t>
            </w:r>
            <w:r w:rsidR="00083837" w:rsidRPr="00C675D3">
              <w:rPr>
                <w:sz w:val="22"/>
              </w:rPr>
              <w:t>ulticollinearity</w:t>
            </w:r>
            <w:r w:rsidRPr="00C675D3">
              <w:rPr>
                <w:sz w:val="22"/>
              </w:rPr>
              <w:t xml:space="preserve"> </w:t>
            </w:r>
            <w:r w:rsidR="00083837" w:rsidRPr="00C675D3">
              <w:rPr>
                <w:sz w:val="22"/>
              </w:rPr>
              <w:t>+</w:t>
            </w:r>
            <w:r w:rsidRPr="00C675D3">
              <w:rPr>
                <w:sz w:val="22"/>
              </w:rPr>
              <w:t xml:space="preserve"> </w:t>
            </w:r>
            <w:r w:rsidR="00083837" w:rsidRPr="00C675D3">
              <w:rPr>
                <w:sz w:val="22"/>
              </w:rPr>
              <w:t>singularities</w:t>
            </w:r>
          </w:p>
        </w:tc>
      </w:tr>
      <w:tr w:rsidR="00083837" w:rsidRPr="00C675D3" w14:paraId="157134BF" w14:textId="77777777" w:rsidTr="00083837">
        <w:trPr>
          <w:trHeight w:val="330"/>
          <w:jc w:val="center"/>
        </w:trPr>
        <w:tc>
          <w:tcPr>
            <w:tcW w:w="1920" w:type="dxa"/>
            <w:noWrap/>
            <w:hideMark/>
          </w:tcPr>
          <w:p w14:paraId="401FBA57" w14:textId="77777777" w:rsidR="00083837" w:rsidRPr="00C675D3" w:rsidRDefault="00083837" w:rsidP="00C675D3">
            <w:pPr>
              <w:rPr>
                <w:color w:val="123869" w:themeColor="accent1"/>
                <w:sz w:val="22"/>
              </w:rPr>
            </w:pPr>
            <w:r w:rsidRPr="00C675D3">
              <w:rPr>
                <w:color w:val="123869" w:themeColor="accent1"/>
                <w:sz w:val="22"/>
              </w:rPr>
              <w:t>Model 2</w:t>
            </w:r>
          </w:p>
        </w:tc>
        <w:tc>
          <w:tcPr>
            <w:tcW w:w="2540" w:type="dxa"/>
            <w:noWrap/>
            <w:hideMark/>
          </w:tcPr>
          <w:p w14:paraId="1C3C62F1" w14:textId="77777777" w:rsidR="00083837" w:rsidRPr="00C675D3" w:rsidRDefault="00083837" w:rsidP="00C675D3">
            <w:pPr>
              <w:rPr>
                <w:color w:val="123869" w:themeColor="accent1"/>
                <w:sz w:val="22"/>
              </w:rPr>
            </w:pPr>
            <w:r w:rsidRPr="00C675D3">
              <w:rPr>
                <w:color w:val="123869" w:themeColor="accent1"/>
                <w:sz w:val="22"/>
              </w:rPr>
              <w:t>0.7033</w:t>
            </w:r>
          </w:p>
        </w:tc>
        <w:tc>
          <w:tcPr>
            <w:tcW w:w="1220" w:type="dxa"/>
            <w:noWrap/>
            <w:hideMark/>
          </w:tcPr>
          <w:p w14:paraId="53AC6807" w14:textId="77777777" w:rsidR="00083837" w:rsidRPr="00C675D3" w:rsidRDefault="00083837" w:rsidP="00C675D3">
            <w:pPr>
              <w:rPr>
                <w:color w:val="123869" w:themeColor="accent1"/>
                <w:sz w:val="22"/>
              </w:rPr>
            </w:pPr>
            <w:r w:rsidRPr="00C675D3">
              <w:rPr>
                <w:color w:val="123869" w:themeColor="accent1"/>
                <w:sz w:val="22"/>
              </w:rPr>
              <w:t>204826.8</w:t>
            </w:r>
          </w:p>
        </w:tc>
        <w:tc>
          <w:tcPr>
            <w:tcW w:w="3340" w:type="dxa"/>
            <w:noWrap/>
            <w:hideMark/>
          </w:tcPr>
          <w:p w14:paraId="181FC264" w14:textId="77777777" w:rsidR="00083837" w:rsidRPr="00C675D3" w:rsidRDefault="00083837" w:rsidP="00C675D3">
            <w:pPr>
              <w:rPr>
                <w:color w:val="123869" w:themeColor="accent1"/>
                <w:sz w:val="22"/>
              </w:rPr>
            </w:pPr>
            <w:r w:rsidRPr="00C675D3">
              <w:rPr>
                <w:color w:val="123869" w:themeColor="accent1"/>
                <w:sz w:val="22"/>
              </w:rPr>
              <w:t>BEST</w:t>
            </w:r>
          </w:p>
        </w:tc>
      </w:tr>
      <w:tr w:rsidR="00083837" w:rsidRPr="00C675D3" w14:paraId="5429190E" w14:textId="77777777" w:rsidTr="00083837">
        <w:trPr>
          <w:trHeight w:val="330"/>
          <w:jc w:val="center"/>
        </w:trPr>
        <w:tc>
          <w:tcPr>
            <w:tcW w:w="1920" w:type="dxa"/>
            <w:noWrap/>
            <w:hideMark/>
          </w:tcPr>
          <w:p w14:paraId="330142A1" w14:textId="77777777" w:rsidR="00083837" w:rsidRPr="00C675D3" w:rsidRDefault="00083837" w:rsidP="00C675D3">
            <w:pPr>
              <w:rPr>
                <w:sz w:val="22"/>
              </w:rPr>
            </w:pPr>
            <w:r w:rsidRPr="00C675D3">
              <w:rPr>
                <w:sz w:val="22"/>
              </w:rPr>
              <w:t>Model 3</w:t>
            </w:r>
          </w:p>
        </w:tc>
        <w:tc>
          <w:tcPr>
            <w:tcW w:w="2540" w:type="dxa"/>
            <w:noWrap/>
            <w:hideMark/>
          </w:tcPr>
          <w:p w14:paraId="5265D9A7" w14:textId="77777777" w:rsidR="00083837" w:rsidRPr="00C675D3" w:rsidRDefault="00083837" w:rsidP="00C675D3">
            <w:pPr>
              <w:rPr>
                <w:sz w:val="22"/>
              </w:rPr>
            </w:pPr>
            <w:r w:rsidRPr="00C675D3">
              <w:rPr>
                <w:sz w:val="22"/>
              </w:rPr>
              <w:t>0.6615</w:t>
            </w:r>
          </w:p>
        </w:tc>
        <w:tc>
          <w:tcPr>
            <w:tcW w:w="1220" w:type="dxa"/>
            <w:noWrap/>
            <w:hideMark/>
          </w:tcPr>
          <w:p w14:paraId="285BBA3B" w14:textId="77777777" w:rsidR="00083837" w:rsidRPr="00C675D3" w:rsidRDefault="00083837" w:rsidP="00C675D3">
            <w:pPr>
              <w:rPr>
                <w:sz w:val="22"/>
              </w:rPr>
            </w:pPr>
            <w:r w:rsidRPr="00C675D3">
              <w:rPr>
                <w:sz w:val="22"/>
              </w:rPr>
              <w:t>218882.5</w:t>
            </w:r>
          </w:p>
        </w:tc>
        <w:tc>
          <w:tcPr>
            <w:tcW w:w="3340" w:type="dxa"/>
            <w:noWrap/>
            <w:hideMark/>
          </w:tcPr>
          <w:p w14:paraId="620425C0" w14:textId="77777777" w:rsidR="00083837" w:rsidRPr="00C675D3" w:rsidRDefault="00083837" w:rsidP="00C675D3">
            <w:pPr>
              <w:rPr>
                <w:sz w:val="22"/>
              </w:rPr>
            </w:pPr>
            <w:r w:rsidRPr="00C675D3">
              <w:rPr>
                <w:sz w:val="22"/>
              </w:rPr>
              <w:t>multicollinearity </w:t>
            </w:r>
          </w:p>
        </w:tc>
      </w:tr>
      <w:tr w:rsidR="00083837" w:rsidRPr="00C675D3" w14:paraId="0254BD3B" w14:textId="77777777" w:rsidTr="00083837">
        <w:trPr>
          <w:trHeight w:val="330"/>
          <w:jc w:val="center"/>
        </w:trPr>
        <w:tc>
          <w:tcPr>
            <w:tcW w:w="1920" w:type="dxa"/>
            <w:noWrap/>
            <w:hideMark/>
          </w:tcPr>
          <w:p w14:paraId="47B313EA" w14:textId="77777777" w:rsidR="00083837" w:rsidRPr="00C675D3" w:rsidRDefault="00083837" w:rsidP="00C675D3">
            <w:pPr>
              <w:rPr>
                <w:sz w:val="22"/>
              </w:rPr>
            </w:pPr>
            <w:r w:rsidRPr="00C675D3">
              <w:rPr>
                <w:sz w:val="22"/>
              </w:rPr>
              <w:t>Model 4</w:t>
            </w:r>
          </w:p>
        </w:tc>
        <w:tc>
          <w:tcPr>
            <w:tcW w:w="2540" w:type="dxa"/>
            <w:noWrap/>
            <w:hideMark/>
          </w:tcPr>
          <w:p w14:paraId="3C0FCC14" w14:textId="77777777" w:rsidR="00083837" w:rsidRPr="00C675D3" w:rsidRDefault="00083837" w:rsidP="00C675D3">
            <w:pPr>
              <w:rPr>
                <w:sz w:val="22"/>
              </w:rPr>
            </w:pPr>
            <w:r w:rsidRPr="00C675D3">
              <w:rPr>
                <w:sz w:val="22"/>
              </w:rPr>
              <w:t>0.6124</w:t>
            </w:r>
          </w:p>
        </w:tc>
        <w:tc>
          <w:tcPr>
            <w:tcW w:w="1220" w:type="dxa"/>
            <w:noWrap/>
            <w:hideMark/>
          </w:tcPr>
          <w:p w14:paraId="4514ED76" w14:textId="77777777" w:rsidR="00083837" w:rsidRPr="00C675D3" w:rsidRDefault="00083837" w:rsidP="00C675D3">
            <w:pPr>
              <w:rPr>
                <w:sz w:val="22"/>
              </w:rPr>
            </w:pPr>
            <w:r w:rsidRPr="00C675D3">
              <w:rPr>
                <w:sz w:val="22"/>
              </w:rPr>
              <w:t>228963.8</w:t>
            </w:r>
          </w:p>
        </w:tc>
        <w:tc>
          <w:tcPr>
            <w:tcW w:w="3340" w:type="dxa"/>
            <w:noWrap/>
            <w:hideMark/>
          </w:tcPr>
          <w:p w14:paraId="4EE6ABAC" w14:textId="77777777" w:rsidR="00083837" w:rsidRPr="00C675D3" w:rsidRDefault="00083837" w:rsidP="00C675D3">
            <w:pPr>
              <w:rPr>
                <w:sz w:val="22"/>
              </w:rPr>
            </w:pPr>
            <w:r w:rsidRPr="00C675D3">
              <w:rPr>
                <w:sz w:val="22"/>
              </w:rPr>
              <w:t> </w:t>
            </w:r>
          </w:p>
        </w:tc>
      </w:tr>
    </w:tbl>
    <w:p w14:paraId="319A7119" w14:textId="354AFA52" w:rsidR="00083837" w:rsidRDefault="00083837" w:rsidP="00083837">
      <w:pPr>
        <w:spacing w:line="480" w:lineRule="auto"/>
      </w:pPr>
    </w:p>
    <w:p w14:paraId="1871F149" w14:textId="5C943914" w:rsidR="00083837" w:rsidRDefault="00083837" w:rsidP="00083837">
      <w:pPr>
        <w:spacing w:line="480" w:lineRule="auto"/>
      </w:pPr>
      <w:r>
        <w:lastRenderedPageBreak/>
        <w:tab/>
      </w:r>
      <w:r w:rsidR="00174773">
        <w:t xml:space="preserve">Out of these </w:t>
      </w:r>
      <w:r w:rsidR="00174773" w:rsidRPr="00174773">
        <w:t xml:space="preserve">four models, we </w:t>
      </w:r>
      <w:r w:rsidR="00284AE3">
        <w:t>chose</w:t>
      </w:r>
      <w:r w:rsidR="00174773" w:rsidRPr="00174773">
        <w:t xml:space="preserve"> </w:t>
      </w:r>
      <w:r w:rsidR="00174773">
        <w:t>M</w:t>
      </w:r>
      <w:r w:rsidR="00174773" w:rsidRPr="00174773">
        <w:t xml:space="preserve">odel 2, because this model did not have multicollinearity </w:t>
      </w:r>
      <w:r w:rsidR="00284AE3">
        <w:t>or singular</w:t>
      </w:r>
      <w:r w:rsidR="00CD6173">
        <w:t>it</w:t>
      </w:r>
      <w:r w:rsidR="00284AE3">
        <w:t>ies</w:t>
      </w:r>
      <w:r w:rsidR="00174773" w:rsidRPr="00174773">
        <w:t xml:space="preserve">. In addition, the adjusted R-squared is larger and the RMSE is lower than </w:t>
      </w:r>
      <w:r w:rsidR="00174773">
        <w:t>M</w:t>
      </w:r>
      <w:r w:rsidR="00174773" w:rsidRPr="00174773">
        <w:t>odel 4.</w:t>
      </w:r>
    </w:p>
    <w:p w14:paraId="0C3586F5" w14:textId="0B344DDC" w:rsidR="00C51520" w:rsidRDefault="00C51520" w:rsidP="00C51520">
      <w:pPr>
        <w:pStyle w:val="Heading2"/>
      </w:pPr>
      <w:r>
        <w:t>Clustering</w:t>
      </w:r>
    </w:p>
    <w:p w14:paraId="709BB960" w14:textId="29EBBFE3" w:rsidR="00BE0D7E" w:rsidRPr="00BE0D7E" w:rsidRDefault="00BE0D7E" w:rsidP="00BE0D7E">
      <w:pPr>
        <w:pStyle w:val="Heading3"/>
      </w:pPr>
      <w:r>
        <w:t>K-Means Clustering</w:t>
      </w:r>
    </w:p>
    <w:p w14:paraId="51525A0A" w14:textId="6AB2FA14" w:rsidR="00C51520" w:rsidRDefault="00004FC0" w:rsidP="0049354B">
      <w:pPr>
        <w:spacing w:line="480" w:lineRule="auto"/>
      </w:pPr>
      <w:r>
        <w:tab/>
      </w:r>
      <w:r w:rsidR="00686D40">
        <w:t xml:space="preserve">Once we had our model, we considered ways we could improve our model with the given data set. Due to the number of outliers </w:t>
      </w:r>
      <w:r w:rsidR="00237361">
        <w:t>in pricing</w:t>
      </w:r>
      <w:r w:rsidR="00BE0D7E">
        <w:t xml:space="preserve"> and square footage</w:t>
      </w:r>
      <w:r w:rsidR="00237361">
        <w:t xml:space="preserve">, we decided to subdivide the data into clusters using </w:t>
      </w:r>
      <w:r w:rsidR="00BE0D7E">
        <w:t xml:space="preserve">the k-clustering method. </w:t>
      </w:r>
      <w:r w:rsidR="00A578C4">
        <w:t xml:space="preserve">Based </w:t>
      </w:r>
      <w:r w:rsidR="00673B7D">
        <w:t>on</w:t>
      </w:r>
      <w:r w:rsidR="00A578C4">
        <w:t xml:space="preserve"> the elbow chart below, we decided on dividing our data into nine clusters.</w:t>
      </w:r>
    </w:p>
    <w:p w14:paraId="4294857C" w14:textId="622FC944" w:rsidR="00F07618" w:rsidRDefault="00F07618" w:rsidP="00F07618">
      <w:pPr>
        <w:spacing w:line="480" w:lineRule="auto"/>
        <w:jc w:val="center"/>
      </w:pPr>
      <w:r>
        <w:rPr>
          <w:noProof/>
        </w:rPr>
        <w:drawing>
          <wp:inline distT="0" distB="0" distL="0" distR="0" wp14:anchorId="45902B65" wp14:editId="04125E67">
            <wp:extent cx="4782217" cy="381053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25">
                      <a:extLst>
                        <a:ext uri="{28A0092B-C50C-407E-A947-70E740481C1C}">
                          <a14:useLocalDpi xmlns:a14="http://schemas.microsoft.com/office/drawing/2010/main" val="0"/>
                        </a:ext>
                      </a:extLst>
                    </a:blip>
                    <a:stretch>
                      <a:fillRect/>
                    </a:stretch>
                  </pic:blipFill>
                  <pic:spPr>
                    <a:xfrm>
                      <a:off x="0" y="0"/>
                      <a:ext cx="4782217" cy="3810532"/>
                    </a:xfrm>
                    <a:prstGeom prst="rect">
                      <a:avLst/>
                    </a:prstGeom>
                  </pic:spPr>
                </pic:pic>
              </a:graphicData>
            </a:graphic>
          </wp:inline>
        </w:drawing>
      </w:r>
    </w:p>
    <w:p w14:paraId="05352B91" w14:textId="34EAC16B" w:rsidR="00AE4E6D" w:rsidRPr="00AE4E6D" w:rsidRDefault="00E44615" w:rsidP="00AE4E6D">
      <w:pPr>
        <w:spacing w:line="480" w:lineRule="auto"/>
      </w:pPr>
      <w:r>
        <w:tab/>
      </w:r>
      <w:r w:rsidR="00AE4E6D" w:rsidRPr="00AE4E6D">
        <w:t>Of the 9 clusters, cluster 7 was the most expensive with a normalized price of 3.0</w:t>
      </w:r>
      <w:r w:rsidR="00396BDA">
        <w:t>55</w:t>
      </w:r>
      <w:r w:rsidR="00AE4E6D" w:rsidRPr="00AE4E6D">
        <w:t xml:space="preserve"> and positive values throughout the selected variables. This cluster most likely corresponds to </w:t>
      </w:r>
      <w:r w:rsidR="00AE4E6D" w:rsidRPr="00AE4E6D">
        <w:lastRenderedPageBreak/>
        <w:t>expensive homes with multiple bedrooms and ample living space. Cluster 4 had a price value of 1.</w:t>
      </w:r>
      <w:r w:rsidR="00E3655A">
        <w:t>91</w:t>
      </w:r>
      <w:r w:rsidR="00396BDA">
        <w:t>1</w:t>
      </w:r>
      <w:r w:rsidR="00AE4E6D" w:rsidRPr="00AE4E6D">
        <w:t xml:space="preserve"> and positive values throughout. </w:t>
      </w:r>
    </w:p>
    <w:p w14:paraId="63D501E9" w14:textId="10395C47" w:rsidR="00AE4E6D" w:rsidRPr="00AE4E6D" w:rsidRDefault="00AE4E6D" w:rsidP="00AE4E6D">
      <w:pPr>
        <w:spacing w:line="480" w:lineRule="auto"/>
        <w:ind w:firstLine="720"/>
      </w:pPr>
      <w:r w:rsidRPr="00AE4E6D">
        <w:t>Three clusters (3,5, &amp; 6) had negative normalized values for price and a preponderance of negative values throughout. These clusters probably correspond to lower income housing and apartments.</w:t>
      </w:r>
    </w:p>
    <w:p w14:paraId="7DB7363C" w14:textId="0A309286" w:rsidR="00AE4E6D" w:rsidRDefault="00AE4E6D" w:rsidP="00AE4E6D">
      <w:pPr>
        <w:spacing w:line="480" w:lineRule="auto"/>
        <w:ind w:firstLine="720"/>
      </w:pPr>
      <w:r w:rsidRPr="00AE4E6D">
        <w:t>Four clusters have positive normalized values for price but are significantly less than cluster 7. Clusters 1, 2, 8, and 9 have price values ranging from 0.0</w:t>
      </w:r>
      <w:r w:rsidR="009D5FC1">
        <w:t>08</w:t>
      </w:r>
      <w:r w:rsidRPr="00AE4E6D">
        <w:t xml:space="preserve"> to </w:t>
      </w:r>
      <w:r w:rsidR="00E3655A">
        <w:t>0.332</w:t>
      </w:r>
      <w:r w:rsidRPr="00AE4E6D">
        <w:t>. These clusters probably represent more middle-income housing environments.</w:t>
      </w:r>
    </w:p>
    <w:p w14:paraId="6A3776C1" w14:textId="052AC306" w:rsidR="009D5FC1" w:rsidRPr="00AE4E6D" w:rsidRDefault="009D5FC1" w:rsidP="009D5FC1">
      <w:pPr>
        <w:spacing w:line="480" w:lineRule="auto"/>
      </w:pPr>
      <w:r w:rsidRPr="009D5FC1">
        <w:rPr>
          <w:noProof/>
        </w:rPr>
        <w:drawing>
          <wp:inline distT="0" distB="0" distL="0" distR="0" wp14:anchorId="299771B6" wp14:editId="36794BF1">
            <wp:extent cx="683895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2009775"/>
                    </a:xfrm>
                    <a:prstGeom prst="rect">
                      <a:avLst/>
                    </a:prstGeom>
                    <a:noFill/>
                    <a:ln>
                      <a:noFill/>
                    </a:ln>
                  </pic:spPr>
                </pic:pic>
              </a:graphicData>
            </a:graphic>
          </wp:inline>
        </w:drawing>
      </w:r>
    </w:p>
    <w:p w14:paraId="5E4921F9" w14:textId="02C07A44" w:rsidR="00E44615" w:rsidRDefault="00FD50D5" w:rsidP="00FD50D5">
      <w:pPr>
        <w:pStyle w:val="Heading3"/>
      </w:pPr>
      <w:r>
        <w:t>Clusters v. Regression</w:t>
      </w:r>
    </w:p>
    <w:p w14:paraId="2D1F2B64" w14:textId="167EA42F" w:rsidR="00FD50D5" w:rsidRDefault="003C4F14" w:rsidP="00E03ACC">
      <w:pPr>
        <w:spacing w:line="480" w:lineRule="auto"/>
      </w:pPr>
      <w:r>
        <w:tab/>
        <w:t>Once we had our clusters</w:t>
      </w:r>
      <w:r w:rsidR="00E03ACC">
        <w:t>,</w:t>
      </w:r>
      <w:r>
        <w:t xml:space="preserve"> we tested our chosen model individually against each cluster to see how it would perform.</w:t>
      </w:r>
      <w:r w:rsidR="00E03ACC">
        <w:t xml:space="preserve"> After running our model against each cluster, we found that it performs best on the cluster with the highest sell prices, with an Adjusted R-Squared value of .8374. In testing the other models, the degradation of accuracy was similar to </w:t>
      </w:r>
      <w:r w:rsidR="003E4E3E">
        <w:t>testing</w:t>
      </w:r>
      <w:r w:rsidR="00E03ACC">
        <w:t xml:space="preserve"> the model</w:t>
      </w:r>
      <w:r w:rsidR="003E4E3E">
        <w:t>s</w:t>
      </w:r>
      <w:r w:rsidR="00E03ACC">
        <w:t xml:space="preserve"> on the complete data set.</w:t>
      </w:r>
    </w:p>
    <w:p w14:paraId="10D6772C" w14:textId="0816E02E" w:rsidR="00E03ACC" w:rsidRDefault="00E03ACC" w:rsidP="00E03ACC">
      <w:pPr>
        <w:pStyle w:val="Heading2"/>
      </w:pPr>
      <w:r>
        <w:lastRenderedPageBreak/>
        <w:t>Conclusion</w:t>
      </w:r>
    </w:p>
    <w:p w14:paraId="70A2FF74" w14:textId="39A5B072" w:rsidR="00F54165" w:rsidRDefault="00F54165" w:rsidP="00F54165">
      <w:pPr>
        <w:pStyle w:val="Heading3"/>
      </w:pPr>
      <w:r>
        <w:t>Results &amp; Insights</w:t>
      </w:r>
    </w:p>
    <w:p w14:paraId="0411F939" w14:textId="74492DF2" w:rsidR="00F54165" w:rsidRPr="00F54165" w:rsidRDefault="00F54165" w:rsidP="00F54165">
      <w:pPr>
        <w:numPr>
          <w:ilvl w:val="0"/>
          <w:numId w:val="2"/>
        </w:numPr>
        <w:spacing w:line="480" w:lineRule="auto"/>
      </w:pPr>
      <w:r w:rsidRPr="00F54165">
        <w:t>On an aggregate level, we observe</w:t>
      </w:r>
      <w:r w:rsidR="00C849CE">
        <w:t>d</w:t>
      </w:r>
      <w:r w:rsidRPr="00F54165">
        <w:t xml:space="preserve"> several factors that have a greater impact on the housing price. The strong predictors are </w:t>
      </w:r>
      <w:r w:rsidR="00C849CE">
        <w:t xml:space="preserve">grade, </w:t>
      </w:r>
      <w:r w:rsidRPr="00F54165">
        <w:t xml:space="preserve">number of bedrooms, number of bathrooms, how large the living </w:t>
      </w:r>
      <w:r w:rsidR="00C849CE">
        <w:t>space is, and</w:t>
      </w:r>
      <w:r w:rsidRPr="00F54165">
        <w:t xml:space="preserve"> if the property is located </w:t>
      </w:r>
      <w:r w:rsidR="00C849CE">
        <w:t>on</w:t>
      </w:r>
      <w:r w:rsidRPr="00F54165">
        <w:t xml:space="preserve"> a waterfron</w:t>
      </w:r>
      <w:r w:rsidR="00C849CE">
        <w:t>t</w:t>
      </w:r>
      <w:r w:rsidRPr="00F54165">
        <w:t>. </w:t>
      </w:r>
    </w:p>
    <w:p w14:paraId="4092C025" w14:textId="3424B755" w:rsidR="00F54165" w:rsidRDefault="00F54165" w:rsidP="00F54165">
      <w:pPr>
        <w:numPr>
          <w:ilvl w:val="0"/>
          <w:numId w:val="2"/>
        </w:numPr>
        <w:spacing w:line="480" w:lineRule="auto"/>
      </w:pPr>
      <w:r w:rsidRPr="00F54165">
        <w:t>Intuition suggests the location of a house might be important. For example, based on the data, 98039 zip code has a median sale price of 2.16 million whereas 98002 has a median sale price of 234.28 K. Further clustering analysis reveals the property location is indeed very influential. We observe very strong correlation within two clusters, corresponding to the most expensive cluster and the least expensive cluster (R squares above 0.80)</w:t>
      </w:r>
      <w:r w:rsidR="00273E3E">
        <w:t>.</w:t>
      </w:r>
    </w:p>
    <w:p w14:paraId="7F9A093F" w14:textId="2DA5BCF4" w:rsidR="00273E3E" w:rsidRDefault="00273E3E" w:rsidP="00273E3E">
      <w:pPr>
        <w:pStyle w:val="Heading3"/>
      </w:pPr>
      <w:r>
        <w:t>Who would benefit from this model?</w:t>
      </w:r>
    </w:p>
    <w:p w14:paraId="7D1AD718" w14:textId="79EDB4DE" w:rsidR="00273E3E" w:rsidRPr="00273E3E" w:rsidRDefault="00D55255" w:rsidP="00273E3E">
      <w:pPr>
        <w:numPr>
          <w:ilvl w:val="0"/>
          <w:numId w:val="3"/>
        </w:numPr>
        <w:spacing w:line="480" w:lineRule="auto"/>
      </w:pPr>
      <w:r>
        <w:t>Home b</w:t>
      </w:r>
      <w:r w:rsidR="00273E3E" w:rsidRPr="00273E3E">
        <w:t>uyers can evaluate the individual listing prices based on the property factors. Historical data might be able to provide crucial insights regarding the asking price, future appreciation of the property</w:t>
      </w:r>
      <w:r>
        <w:t>,</w:t>
      </w:r>
      <w:r w:rsidR="00273E3E" w:rsidRPr="00273E3E">
        <w:t xml:space="preserve"> as well as neighborhood listing information</w:t>
      </w:r>
      <w:r>
        <w:t>.</w:t>
      </w:r>
    </w:p>
    <w:p w14:paraId="4BE8E202" w14:textId="57AAF05B" w:rsidR="00273E3E" w:rsidRDefault="00273E3E" w:rsidP="00273E3E">
      <w:pPr>
        <w:numPr>
          <w:ilvl w:val="0"/>
          <w:numId w:val="3"/>
        </w:numPr>
        <w:spacing w:line="480" w:lineRule="auto"/>
      </w:pPr>
      <w:r w:rsidRPr="00273E3E">
        <w:t xml:space="preserve"> Real estate agents can take advantage of the visualization and models to better understand the historical real estate pricing trends in the King </w:t>
      </w:r>
      <w:r w:rsidR="00D55255">
        <w:t>C</w:t>
      </w:r>
      <w:r w:rsidRPr="00273E3E">
        <w:t>ounty</w:t>
      </w:r>
      <w:r w:rsidR="00D55255">
        <w:t>.</w:t>
      </w:r>
    </w:p>
    <w:p w14:paraId="4A4EA65F" w14:textId="51C326FF" w:rsidR="00273E3E" w:rsidRDefault="00273E3E" w:rsidP="00273E3E">
      <w:pPr>
        <w:numPr>
          <w:ilvl w:val="0"/>
          <w:numId w:val="3"/>
        </w:numPr>
        <w:spacing w:line="480" w:lineRule="auto"/>
      </w:pPr>
      <w:r w:rsidRPr="00273E3E">
        <w:t>Real estate companies can better allocate resources based on the current pricing trends.</w:t>
      </w:r>
    </w:p>
    <w:p w14:paraId="46BBE991" w14:textId="71E05FEC" w:rsidR="00D55255" w:rsidRDefault="00D55255" w:rsidP="00D55255">
      <w:pPr>
        <w:pStyle w:val="Heading3"/>
      </w:pPr>
      <w:r>
        <w:t>Potential Improvements</w:t>
      </w:r>
    </w:p>
    <w:p w14:paraId="591F8549" w14:textId="03BD9995" w:rsidR="009043DC" w:rsidRPr="009043DC" w:rsidRDefault="009043DC" w:rsidP="009043DC">
      <w:pPr>
        <w:numPr>
          <w:ilvl w:val="0"/>
          <w:numId w:val="4"/>
        </w:numPr>
        <w:spacing w:line="480" w:lineRule="auto"/>
      </w:pPr>
      <w:r w:rsidRPr="009043DC">
        <w:t>Real estate trends vary greatly among different regions. It would be beneficial to analyze other adjacent areas to better understand the greater Seattle area housing market</w:t>
      </w:r>
      <w:r>
        <w:t>.</w:t>
      </w:r>
    </w:p>
    <w:p w14:paraId="29491A9C" w14:textId="78CC9C71" w:rsidR="009043DC" w:rsidRPr="009043DC" w:rsidRDefault="009043DC" w:rsidP="009043DC">
      <w:pPr>
        <w:numPr>
          <w:ilvl w:val="0"/>
          <w:numId w:val="4"/>
        </w:numPr>
        <w:spacing w:line="480" w:lineRule="auto"/>
      </w:pPr>
      <w:r>
        <w:lastRenderedPageBreak/>
        <w:t>Th</w:t>
      </w:r>
      <w:r w:rsidR="00DE6A44">
        <w:t>e</w:t>
      </w:r>
      <w:bookmarkStart w:id="0" w:name="_GoBack"/>
      <w:bookmarkEnd w:id="0"/>
      <w:r>
        <w:t xml:space="preserve"> r</w:t>
      </w:r>
      <w:r w:rsidRPr="009043DC">
        <w:t xml:space="preserve">ecent tech boom has greatly reshaped </w:t>
      </w:r>
      <w:r>
        <w:t xml:space="preserve">King County </w:t>
      </w:r>
      <w:r w:rsidRPr="009043DC">
        <w:t>property trends. Historical data m</w:t>
      </w:r>
      <w:r>
        <w:t>ay</w:t>
      </w:r>
      <w:r w:rsidRPr="009043DC">
        <w:t xml:space="preserve"> not be able to capture very recent changes. To ensure the accuracy, re-training our model on a periodic basis will be necessary</w:t>
      </w:r>
      <w:r>
        <w:t>.</w:t>
      </w:r>
    </w:p>
    <w:p w14:paraId="748EAB62" w14:textId="07AC9ADC" w:rsidR="009043DC" w:rsidRPr="009043DC" w:rsidRDefault="009043DC" w:rsidP="009043DC">
      <w:pPr>
        <w:numPr>
          <w:ilvl w:val="0"/>
          <w:numId w:val="4"/>
        </w:numPr>
        <w:spacing w:line="480" w:lineRule="auto"/>
      </w:pPr>
      <w:r w:rsidRPr="009043DC">
        <w:t>Further K means analysis &amp; logistical regression will be able to refine our cluster distribution, improving the accuracy of our model</w:t>
      </w:r>
      <w:r>
        <w:t xml:space="preserve"> as well as giving us the potential for forming different models based on clustering characteristics.</w:t>
      </w:r>
    </w:p>
    <w:p w14:paraId="2051D134" w14:textId="1F0599EA" w:rsidR="009043DC" w:rsidRPr="009043DC" w:rsidRDefault="009043DC" w:rsidP="009043DC">
      <w:pPr>
        <w:numPr>
          <w:ilvl w:val="0"/>
          <w:numId w:val="4"/>
        </w:numPr>
        <w:spacing w:line="480" w:lineRule="auto"/>
      </w:pPr>
      <w:r w:rsidRPr="009043DC">
        <w:t xml:space="preserve">Additional crucial factors might be helpful </w:t>
      </w:r>
      <w:r>
        <w:t>to include in our modeling exercise</w:t>
      </w:r>
      <w:r w:rsidRPr="009043DC">
        <w:t>, such as neighborhood school ratings, walkab</w:t>
      </w:r>
      <w:r>
        <w:t>ility</w:t>
      </w:r>
      <w:r w:rsidRPr="009043DC">
        <w:t xml:space="preserve"> scores, flooding area designation, etc. </w:t>
      </w:r>
    </w:p>
    <w:p w14:paraId="50390673" w14:textId="37E277FA" w:rsidR="00E03ACC" w:rsidRPr="00E03ACC" w:rsidRDefault="009043DC" w:rsidP="00E03ACC">
      <w:pPr>
        <w:numPr>
          <w:ilvl w:val="0"/>
          <w:numId w:val="4"/>
        </w:numPr>
        <w:spacing w:line="480" w:lineRule="auto"/>
      </w:pPr>
      <w:r w:rsidRPr="009043DC">
        <w:t xml:space="preserve">Another interesting topic is to test the seasonality by isolating the month as a variable </w:t>
      </w:r>
      <w:r>
        <w:t xml:space="preserve">in a data set that spans multiple years </w:t>
      </w:r>
      <w:r w:rsidRPr="009043DC">
        <w:t>so that we could better understand the pricing fluctuation</w:t>
      </w:r>
      <w:r>
        <w:t>s over time</w:t>
      </w:r>
      <w:r w:rsidR="003104AD">
        <w:t xml:space="preserve"> as well as in relation to the economic performance of local employers.</w:t>
      </w:r>
    </w:p>
    <w:sectPr w:rsidR="00E03ACC" w:rsidRPr="00E03ACC" w:rsidSect="00A24793">
      <w:footerReference w:type="even" r:id="rId27"/>
      <w:footerReference w:type="default" r:id="rId2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62D8" w14:textId="77777777" w:rsidR="001737E7" w:rsidRDefault="001737E7" w:rsidP="000B1513">
      <w:r>
        <w:separator/>
      </w:r>
    </w:p>
    <w:p w14:paraId="7EC2DA66" w14:textId="77777777" w:rsidR="001737E7" w:rsidRDefault="001737E7" w:rsidP="000B1513"/>
  </w:endnote>
  <w:endnote w:type="continuationSeparator" w:id="0">
    <w:p w14:paraId="2BB5AC3F" w14:textId="77777777" w:rsidR="001737E7" w:rsidRDefault="001737E7" w:rsidP="000B1513">
      <w:r>
        <w:continuationSeparator/>
      </w:r>
    </w:p>
    <w:p w14:paraId="739DA4C8" w14:textId="77777777" w:rsidR="001737E7" w:rsidRDefault="001737E7" w:rsidP="000B1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51C339AF" w14:textId="77777777" w:rsidR="001205A1" w:rsidRDefault="001205A1" w:rsidP="000B151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988E09D" w14:textId="77777777" w:rsidR="001205A1" w:rsidRDefault="001205A1" w:rsidP="000B1513">
    <w:pPr>
      <w:pStyle w:val="Footer"/>
    </w:pPr>
  </w:p>
  <w:p w14:paraId="786BEDCD" w14:textId="77777777" w:rsidR="00E469D6" w:rsidRDefault="00E469D6" w:rsidP="000B15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4A1DC4C9" w14:textId="77777777" w:rsidR="001205A1" w:rsidRDefault="001205A1" w:rsidP="000B151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F3DC211" w14:textId="77777777" w:rsidTr="005F4F46">
      <w:tc>
        <w:tcPr>
          <w:tcW w:w="5395" w:type="dxa"/>
        </w:tcPr>
        <w:p w14:paraId="73132729" w14:textId="49FD16EE" w:rsidR="001205A1" w:rsidRPr="001205A1" w:rsidRDefault="001737E7" w:rsidP="000B1513">
          <w:pPr>
            <w:pStyle w:val="Footer"/>
          </w:pPr>
          <w:sdt>
            <w:sdtPr>
              <w:alias w:val="Title"/>
              <w:tag w:val=""/>
              <w:id w:val="560684441"/>
              <w:placeholder>
                <w:docPart w:val="2FDA986BE14E49A38B782E6C2F475514"/>
              </w:placeholder>
              <w:dataBinding w:prefixMappings="xmlns:ns0='http://purl.org/dc/elements/1.1/' xmlns:ns1='http://schemas.openxmlformats.org/package/2006/metadata/core-properties' " w:xpath="/ns1:coreProperties[1]/ns0:title[1]" w:storeItemID="{6C3C8BC8-F283-45AE-878A-BAB7291924A1}"/>
              <w:text/>
            </w:sdtPr>
            <w:sdtEndPr/>
            <w:sdtContent>
              <w:r w:rsidR="006E2FAB">
                <w:t>King County Housing</w:t>
              </w:r>
            </w:sdtContent>
          </w:sdt>
        </w:p>
      </w:tc>
      <w:tc>
        <w:tcPr>
          <w:tcW w:w="5395" w:type="dxa"/>
        </w:tcPr>
        <w:p w14:paraId="40D24F6C" w14:textId="77777777" w:rsidR="001205A1" w:rsidRPr="001205A1" w:rsidRDefault="001205A1" w:rsidP="000B1513">
          <w:pPr>
            <w:pStyle w:val="Footer"/>
          </w:pPr>
          <w:r w:rsidRPr="001205A1">
            <w:t xml:space="preserve">   </w:t>
          </w:r>
        </w:p>
      </w:tc>
    </w:tr>
  </w:tbl>
  <w:p w14:paraId="5F4AEC3A" w14:textId="77777777" w:rsidR="001205A1" w:rsidRDefault="001205A1" w:rsidP="000B1513">
    <w:pPr>
      <w:pStyle w:val="Footer"/>
    </w:pPr>
  </w:p>
  <w:p w14:paraId="1D14AC3E" w14:textId="77777777" w:rsidR="00E469D6" w:rsidRDefault="00E469D6" w:rsidP="000B15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B233B" w14:textId="77777777" w:rsidR="001737E7" w:rsidRDefault="001737E7" w:rsidP="000B1513">
      <w:r>
        <w:separator/>
      </w:r>
    </w:p>
    <w:p w14:paraId="615369D8" w14:textId="77777777" w:rsidR="001737E7" w:rsidRDefault="001737E7" w:rsidP="000B1513"/>
  </w:footnote>
  <w:footnote w:type="continuationSeparator" w:id="0">
    <w:p w14:paraId="0A4DC98B" w14:textId="77777777" w:rsidR="001737E7" w:rsidRDefault="001737E7" w:rsidP="000B1513">
      <w:r>
        <w:continuationSeparator/>
      </w:r>
    </w:p>
    <w:p w14:paraId="65398939" w14:textId="77777777" w:rsidR="001737E7" w:rsidRDefault="001737E7" w:rsidP="000B15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3710"/>
    <w:multiLevelType w:val="multilevel"/>
    <w:tmpl w:val="B4942B02"/>
    <w:lvl w:ilvl="0">
      <w:start w:val="1"/>
      <w:numFmt w:val="decimal"/>
      <w:lvlText w:val="%1."/>
      <w:lvlJc w:val="left"/>
      <w:pPr>
        <w:tabs>
          <w:tab w:val="num" w:pos="720"/>
        </w:tabs>
        <w:ind w:left="720" w:hanging="360"/>
      </w:pPr>
      <w:rPr>
        <w:b/>
        <w:bCs/>
        <w:color w:val="00C1C7" w:themeColor="accen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02869"/>
    <w:multiLevelType w:val="multilevel"/>
    <w:tmpl w:val="E0F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362B5F"/>
    <w:multiLevelType w:val="multilevel"/>
    <w:tmpl w:val="D102FA80"/>
    <w:lvl w:ilvl="0">
      <w:start w:val="1"/>
      <w:numFmt w:val="decimal"/>
      <w:lvlText w:val="%1."/>
      <w:lvlJc w:val="left"/>
      <w:pPr>
        <w:tabs>
          <w:tab w:val="num" w:pos="720"/>
        </w:tabs>
        <w:ind w:left="720" w:hanging="360"/>
      </w:pPr>
      <w:rPr>
        <w:b/>
        <w:bCs/>
        <w:color w:val="00C1C7" w:themeColor="accen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66F78"/>
    <w:multiLevelType w:val="multilevel"/>
    <w:tmpl w:val="A7249370"/>
    <w:lvl w:ilvl="0">
      <w:start w:val="1"/>
      <w:numFmt w:val="decimal"/>
      <w:lvlText w:val="%1."/>
      <w:lvlJc w:val="left"/>
      <w:pPr>
        <w:tabs>
          <w:tab w:val="num" w:pos="720"/>
        </w:tabs>
        <w:ind w:left="720" w:hanging="360"/>
      </w:pPr>
      <w:rPr>
        <w:b/>
        <w:bCs/>
        <w:color w:val="00C1C7" w:themeColor="accen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195"/>
    <w:rsid w:val="00004FC0"/>
    <w:rsid w:val="00023A31"/>
    <w:rsid w:val="00072050"/>
    <w:rsid w:val="00083837"/>
    <w:rsid w:val="000B1513"/>
    <w:rsid w:val="000C4253"/>
    <w:rsid w:val="000C4ED1"/>
    <w:rsid w:val="00116B35"/>
    <w:rsid w:val="001205A1"/>
    <w:rsid w:val="00124AE2"/>
    <w:rsid w:val="00163CB7"/>
    <w:rsid w:val="00170E51"/>
    <w:rsid w:val="001737E7"/>
    <w:rsid w:val="00174773"/>
    <w:rsid w:val="001C285D"/>
    <w:rsid w:val="00237361"/>
    <w:rsid w:val="00262B19"/>
    <w:rsid w:val="00272107"/>
    <w:rsid w:val="00273E3E"/>
    <w:rsid w:val="00284AE3"/>
    <w:rsid w:val="002877E8"/>
    <w:rsid w:val="002C032B"/>
    <w:rsid w:val="002E7C4E"/>
    <w:rsid w:val="00301A22"/>
    <w:rsid w:val="00303894"/>
    <w:rsid w:val="003104AD"/>
    <w:rsid w:val="0031055C"/>
    <w:rsid w:val="00363167"/>
    <w:rsid w:val="00371EE1"/>
    <w:rsid w:val="00371FE0"/>
    <w:rsid w:val="003968B7"/>
    <w:rsid w:val="00396BDA"/>
    <w:rsid w:val="003A798E"/>
    <w:rsid w:val="003C4F14"/>
    <w:rsid w:val="003E4E3E"/>
    <w:rsid w:val="003F2333"/>
    <w:rsid w:val="00425A99"/>
    <w:rsid w:val="00472225"/>
    <w:rsid w:val="0049354B"/>
    <w:rsid w:val="004B2DD6"/>
    <w:rsid w:val="004E0D3F"/>
    <w:rsid w:val="00501F67"/>
    <w:rsid w:val="00541910"/>
    <w:rsid w:val="00542FC2"/>
    <w:rsid w:val="005A5A5B"/>
    <w:rsid w:val="005E3A3A"/>
    <w:rsid w:val="005E6B25"/>
    <w:rsid w:val="005F4F46"/>
    <w:rsid w:val="00617015"/>
    <w:rsid w:val="00631304"/>
    <w:rsid w:val="00673B7D"/>
    <w:rsid w:val="00686D40"/>
    <w:rsid w:val="006A0D95"/>
    <w:rsid w:val="006C4075"/>
    <w:rsid w:val="006C60E6"/>
    <w:rsid w:val="006E2FAB"/>
    <w:rsid w:val="007B0740"/>
    <w:rsid w:val="007C1BAB"/>
    <w:rsid w:val="007D5FAC"/>
    <w:rsid w:val="00805E7A"/>
    <w:rsid w:val="008F7100"/>
    <w:rsid w:val="009043DC"/>
    <w:rsid w:val="00933131"/>
    <w:rsid w:val="009346AB"/>
    <w:rsid w:val="009A1195"/>
    <w:rsid w:val="009B375A"/>
    <w:rsid w:val="009B378C"/>
    <w:rsid w:val="009D5FC1"/>
    <w:rsid w:val="00A15CF7"/>
    <w:rsid w:val="00A21B3E"/>
    <w:rsid w:val="00A24793"/>
    <w:rsid w:val="00A405F2"/>
    <w:rsid w:val="00A578C4"/>
    <w:rsid w:val="00A80E44"/>
    <w:rsid w:val="00A81238"/>
    <w:rsid w:val="00A81248"/>
    <w:rsid w:val="00A96FA5"/>
    <w:rsid w:val="00AE4E6D"/>
    <w:rsid w:val="00B44E2A"/>
    <w:rsid w:val="00BA4BA6"/>
    <w:rsid w:val="00BE0D7E"/>
    <w:rsid w:val="00C51520"/>
    <w:rsid w:val="00C66528"/>
    <w:rsid w:val="00C675D3"/>
    <w:rsid w:val="00C8393E"/>
    <w:rsid w:val="00C849CE"/>
    <w:rsid w:val="00C915F0"/>
    <w:rsid w:val="00CD6173"/>
    <w:rsid w:val="00CE55B4"/>
    <w:rsid w:val="00CF2020"/>
    <w:rsid w:val="00D0614B"/>
    <w:rsid w:val="00D24CF9"/>
    <w:rsid w:val="00D55255"/>
    <w:rsid w:val="00D579CE"/>
    <w:rsid w:val="00D678C8"/>
    <w:rsid w:val="00DA79E3"/>
    <w:rsid w:val="00DB01F8"/>
    <w:rsid w:val="00DE6A44"/>
    <w:rsid w:val="00DF0CFF"/>
    <w:rsid w:val="00DF3C71"/>
    <w:rsid w:val="00E03ACC"/>
    <w:rsid w:val="00E1149C"/>
    <w:rsid w:val="00E3655A"/>
    <w:rsid w:val="00E44615"/>
    <w:rsid w:val="00E469D6"/>
    <w:rsid w:val="00E66EB8"/>
    <w:rsid w:val="00E905DC"/>
    <w:rsid w:val="00EE35AF"/>
    <w:rsid w:val="00F07618"/>
    <w:rsid w:val="00F54165"/>
    <w:rsid w:val="00F64728"/>
    <w:rsid w:val="00F6493F"/>
    <w:rsid w:val="00F82793"/>
    <w:rsid w:val="00FB65B8"/>
    <w:rsid w:val="00FC49AE"/>
    <w:rsid w:val="00FD109A"/>
    <w:rsid w:val="00FD2FC3"/>
    <w:rsid w:val="00FD50D5"/>
    <w:rsid w:val="00FE1EDB"/>
    <w:rsid w:val="00FE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EF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8393E"/>
    <w:rPr>
      <w:rFonts w:ascii="Open Sans" w:hAnsi="Open Sans" w:cs="Open Sans"/>
      <w:szCs w:val="22"/>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0B1513"/>
    <w:pPr>
      <w:keepNext/>
      <w:keepLines/>
      <w:spacing w:after="240"/>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DF0CFF"/>
    <w:pPr>
      <w:keepNext/>
      <w:keepLines/>
      <w:outlineLvl w:val="3"/>
    </w:pPr>
    <w:rPr>
      <w:rFonts w:eastAsiaTheme="majorEastAsia"/>
      <w:color w:val="000000" w:themeColor="text1"/>
      <w:sz w:val="28"/>
      <w:szCs w:val="28"/>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0B1513"/>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DF0CFF"/>
    <w:rPr>
      <w:rFonts w:ascii="Open Sans" w:eastAsiaTheme="majorEastAsia" w:hAnsi="Open Sans" w:cs="Open Sans"/>
      <w:color w:val="000000" w:themeColor="text1"/>
      <w:sz w:val="28"/>
      <w:szCs w:val="28"/>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AE4E6D"/>
    <w:rPr>
      <w:rFonts w:ascii="Times New Roman" w:hAnsi="Times New Roman" w:cs="Times New Roman"/>
      <w:szCs w:val="24"/>
    </w:rPr>
  </w:style>
  <w:style w:type="paragraph" w:styleId="Caption">
    <w:name w:val="caption"/>
    <w:basedOn w:val="Normal"/>
    <w:next w:val="Normal"/>
    <w:uiPriority w:val="35"/>
    <w:semiHidden/>
    <w:qFormat/>
    <w:rsid w:val="00D678C8"/>
    <w:pPr>
      <w:spacing w:after="200"/>
    </w:pPr>
    <w:rPr>
      <w:i/>
      <w:iCs/>
      <w:color w:val="5E5E5E" w:themeColor="text2"/>
      <w:sz w:val="18"/>
      <w:szCs w:val="18"/>
    </w:rPr>
  </w:style>
  <w:style w:type="character" w:styleId="Hyperlink">
    <w:name w:val="Hyperlink"/>
    <w:basedOn w:val="DefaultParagraphFont"/>
    <w:uiPriority w:val="99"/>
    <w:semiHidden/>
    <w:rsid w:val="006A0D95"/>
    <w:rPr>
      <w:color w:val="0000FF" w:themeColor="hyperlink"/>
      <w:u w:val="single"/>
    </w:rPr>
  </w:style>
  <w:style w:type="character" w:styleId="UnresolvedMention">
    <w:name w:val="Unresolved Mention"/>
    <w:basedOn w:val="DefaultParagraphFont"/>
    <w:uiPriority w:val="99"/>
    <w:semiHidden/>
    <w:unhideWhenUsed/>
    <w:rsid w:val="006A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5220">
      <w:bodyDiv w:val="1"/>
      <w:marLeft w:val="0"/>
      <w:marRight w:val="0"/>
      <w:marTop w:val="0"/>
      <w:marBottom w:val="0"/>
      <w:divBdr>
        <w:top w:val="none" w:sz="0" w:space="0" w:color="auto"/>
        <w:left w:val="none" w:sz="0" w:space="0" w:color="auto"/>
        <w:bottom w:val="none" w:sz="0" w:space="0" w:color="auto"/>
        <w:right w:val="none" w:sz="0" w:space="0" w:color="auto"/>
      </w:divBdr>
      <w:divsChild>
        <w:div w:id="1444576558">
          <w:marLeft w:val="0"/>
          <w:marRight w:val="0"/>
          <w:marTop w:val="0"/>
          <w:marBottom w:val="0"/>
          <w:divBdr>
            <w:top w:val="none" w:sz="0" w:space="0" w:color="auto"/>
            <w:left w:val="none" w:sz="0" w:space="0" w:color="auto"/>
            <w:bottom w:val="none" w:sz="0" w:space="0" w:color="auto"/>
            <w:right w:val="none" w:sz="0" w:space="0" w:color="auto"/>
          </w:divBdr>
        </w:div>
      </w:divsChild>
    </w:div>
    <w:div w:id="329328987">
      <w:bodyDiv w:val="1"/>
      <w:marLeft w:val="0"/>
      <w:marRight w:val="0"/>
      <w:marTop w:val="0"/>
      <w:marBottom w:val="0"/>
      <w:divBdr>
        <w:top w:val="none" w:sz="0" w:space="0" w:color="auto"/>
        <w:left w:val="none" w:sz="0" w:space="0" w:color="auto"/>
        <w:bottom w:val="none" w:sz="0" w:space="0" w:color="auto"/>
        <w:right w:val="none" w:sz="0" w:space="0" w:color="auto"/>
      </w:divBdr>
    </w:div>
    <w:div w:id="757407719">
      <w:bodyDiv w:val="1"/>
      <w:marLeft w:val="0"/>
      <w:marRight w:val="0"/>
      <w:marTop w:val="0"/>
      <w:marBottom w:val="0"/>
      <w:divBdr>
        <w:top w:val="none" w:sz="0" w:space="0" w:color="auto"/>
        <w:left w:val="none" w:sz="0" w:space="0" w:color="auto"/>
        <w:bottom w:val="none" w:sz="0" w:space="0" w:color="auto"/>
        <w:right w:val="none" w:sz="0" w:space="0" w:color="auto"/>
      </w:divBdr>
      <w:divsChild>
        <w:div w:id="1527206852">
          <w:marLeft w:val="0"/>
          <w:marRight w:val="0"/>
          <w:marTop w:val="0"/>
          <w:marBottom w:val="0"/>
          <w:divBdr>
            <w:top w:val="none" w:sz="0" w:space="0" w:color="auto"/>
            <w:left w:val="none" w:sz="0" w:space="0" w:color="auto"/>
            <w:bottom w:val="none" w:sz="0" w:space="0" w:color="auto"/>
            <w:right w:val="none" w:sz="0" w:space="0" w:color="auto"/>
          </w:divBdr>
        </w:div>
      </w:divsChild>
    </w:div>
    <w:div w:id="886259423">
      <w:bodyDiv w:val="1"/>
      <w:marLeft w:val="0"/>
      <w:marRight w:val="0"/>
      <w:marTop w:val="0"/>
      <w:marBottom w:val="0"/>
      <w:divBdr>
        <w:top w:val="none" w:sz="0" w:space="0" w:color="auto"/>
        <w:left w:val="none" w:sz="0" w:space="0" w:color="auto"/>
        <w:bottom w:val="none" w:sz="0" w:space="0" w:color="auto"/>
        <w:right w:val="none" w:sz="0" w:space="0" w:color="auto"/>
      </w:divBdr>
    </w:div>
    <w:div w:id="1518691139">
      <w:bodyDiv w:val="1"/>
      <w:marLeft w:val="0"/>
      <w:marRight w:val="0"/>
      <w:marTop w:val="0"/>
      <w:marBottom w:val="0"/>
      <w:divBdr>
        <w:top w:val="none" w:sz="0" w:space="0" w:color="auto"/>
        <w:left w:val="none" w:sz="0" w:space="0" w:color="auto"/>
        <w:bottom w:val="none" w:sz="0" w:space="0" w:color="auto"/>
        <w:right w:val="none" w:sz="0" w:space="0" w:color="auto"/>
      </w:divBdr>
    </w:div>
    <w:div w:id="1550459919">
      <w:bodyDiv w:val="1"/>
      <w:marLeft w:val="0"/>
      <w:marRight w:val="0"/>
      <w:marTop w:val="0"/>
      <w:marBottom w:val="0"/>
      <w:divBdr>
        <w:top w:val="none" w:sz="0" w:space="0" w:color="auto"/>
        <w:left w:val="none" w:sz="0" w:space="0" w:color="auto"/>
        <w:bottom w:val="none" w:sz="0" w:space="0" w:color="auto"/>
        <w:right w:val="none" w:sz="0" w:space="0" w:color="auto"/>
      </w:divBdr>
    </w:div>
    <w:div w:id="1680811211">
      <w:bodyDiv w:val="1"/>
      <w:marLeft w:val="0"/>
      <w:marRight w:val="0"/>
      <w:marTop w:val="0"/>
      <w:marBottom w:val="0"/>
      <w:divBdr>
        <w:top w:val="none" w:sz="0" w:space="0" w:color="auto"/>
        <w:left w:val="none" w:sz="0" w:space="0" w:color="auto"/>
        <w:bottom w:val="none" w:sz="0" w:space="0" w:color="auto"/>
        <w:right w:val="none" w:sz="0" w:space="0" w:color="auto"/>
      </w:divBdr>
    </w:div>
    <w:div w:id="1813056846">
      <w:bodyDiv w:val="1"/>
      <w:marLeft w:val="0"/>
      <w:marRight w:val="0"/>
      <w:marTop w:val="0"/>
      <w:marBottom w:val="0"/>
      <w:divBdr>
        <w:top w:val="none" w:sz="0" w:space="0" w:color="auto"/>
        <w:left w:val="none" w:sz="0" w:space="0" w:color="auto"/>
        <w:bottom w:val="none" w:sz="0" w:space="0" w:color="auto"/>
        <w:right w:val="none" w:sz="0" w:space="0" w:color="auto"/>
      </w:divBdr>
    </w:div>
    <w:div w:id="19048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www.kaggle.com/harlfoxem/housesalesprediction"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20Evans\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DA986BE14E49A38B782E6C2F475514"/>
        <w:category>
          <w:name w:val="General"/>
          <w:gallery w:val="placeholder"/>
        </w:category>
        <w:types>
          <w:type w:val="bbPlcHdr"/>
        </w:types>
        <w:behaviors>
          <w:behavior w:val="content"/>
        </w:behaviors>
        <w:guid w:val="{F0F4A798-0557-40CB-A4EB-3B35B1C4A139}"/>
      </w:docPartPr>
      <w:docPartBody>
        <w:p w:rsidR="00182D3F" w:rsidRDefault="00937229">
          <w:r w:rsidRPr="004C6A6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29"/>
    <w:rsid w:val="00182D3F"/>
    <w:rsid w:val="0092562A"/>
    <w:rsid w:val="00937229"/>
    <w:rsid w:val="00A6731C"/>
    <w:rsid w:val="00B13119"/>
    <w:rsid w:val="00C7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937229"/>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9CB5C3C65F4DD0A2ACF8F21260525B">
    <w:name w:val="B49CB5C3C65F4DD0A2ACF8F21260525B"/>
  </w:style>
  <w:style w:type="paragraph" w:customStyle="1" w:styleId="2AC6261FD298446AA24A9E8FFE56BC64">
    <w:name w:val="2AC6261FD298446AA24A9E8FFE56BC64"/>
  </w:style>
  <w:style w:type="paragraph" w:customStyle="1" w:styleId="0E17BFC574A6458DA96AFF707369E710">
    <w:name w:val="0E17BFC574A6458DA96AFF707369E710"/>
  </w:style>
  <w:style w:type="paragraph" w:customStyle="1" w:styleId="A72EF1287503406A8093424E1956DC1A">
    <w:name w:val="A72EF1287503406A8093424E1956DC1A"/>
  </w:style>
  <w:style w:type="paragraph" w:customStyle="1" w:styleId="B3618DB69E7B48ACB2DB6E7429D25570">
    <w:name w:val="B3618DB69E7B48ACB2DB6E7429D25570"/>
  </w:style>
  <w:style w:type="paragraph" w:customStyle="1" w:styleId="76E71129CF8F4259A393A859EA5C6F17">
    <w:name w:val="76E71129CF8F4259A393A859EA5C6F17"/>
  </w:style>
  <w:style w:type="character" w:customStyle="1" w:styleId="Heading4Char">
    <w:name w:val="Heading 4 Char"/>
    <w:basedOn w:val="DefaultParagraphFont"/>
    <w:link w:val="Heading4"/>
    <w:uiPriority w:val="3"/>
    <w:rsid w:val="00937229"/>
    <w:rPr>
      <w:rFonts w:eastAsiaTheme="majorEastAsia" w:cstheme="majorBidi"/>
      <w:i/>
      <w:iCs/>
      <w:color w:val="000000" w:themeColor="text1"/>
      <w:sz w:val="32"/>
      <w:szCs w:val="24"/>
    </w:rPr>
  </w:style>
  <w:style w:type="paragraph" w:customStyle="1" w:styleId="62B7B46A2DC14338BC8F484E8F0E9ABD">
    <w:name w:val="62B7B46A2DC14338BC8F484E8F0E9ABD"/>
  </w:style>
  <w:style w:type="paragraph" w:customStyle="1" w:styleId="Text">
    <w:name w:val="Text"/>
    <w:basedOn w:val="Normal"/>
    <w:uiPriority w:val="5"/>
    <w:qFormat/>
    <w:rsid w:val="00937229"/>
    <w:pPr>
      <w:spacing w:after="0" w:line="240" w:lineRule="auto"/>
    </w:pPr>
    <w:rPr>
      <w:rFonts w:eastAsiaTheme="minorHAnsi"/>
      <w:i/>
      <w:color w:val="000000" w:themeColor="text1"/>
      <w:sz w:val="28"/>
      <w:szCs w:val="24"/>
    </w:rPr>
  </w:style>
  <w:style w:type="paragraph" w:customStyle="1" w:styleId="58C2EF10A7F147B8B86816B2E9877C28">
    <w:name w:val="58C2EF10A7F147B8B86816B2E9877C28"/>
  </w:style>
  <w:style w:type="paragraph" w:customStyle="1" w:styleId="84BB0ACC28864E8EA082C1763343674F">
    <w:name w:val="84BB0ACC28864E8EA082C1763343674F"/>
  </w:style>
  <w:style w:type="paragraph" w:customStyle="1" w:styleId="334690094F1041EE837FC0445E9CB6EB">
    <w:name w:val="334690094F1041EE837FC0445E9CB6EB"/>
  </w:style>
  <w:style w:type="character" w:styleId="Emphasis">
    <w:name w:val="Emphasis"/>
    <w:basedOn w:val="DefaultParagraphFont"/>
    <w:uiPriority w:val="20"/>
    <w:qFormat/>
    <w:rPr>
      <w:i w:val="0"/>
      <w:iCs/>
      <w:color w:val="ED7D31" w:themeColor="accent2"/>
    </w:rPr>
  </w:style>
  <w:style w:type="paragraph" w:customStyle="1" w:styleId="DBC1CA1716AA431398B0517563D2D480">
    <w:name w:val="DBC1CA1716AA431398B0517563D2D480"/>
  </w:style>
  <w:style w:type="paragraph" w:customStyle="1" w:styleId="D31AE704152C49CD889669FABAA84ADA">
    <w:name w:val="D31AE704152C49CD889669FABAA84ADA"/>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2F613C9C7BED4C83B56BEC06062E9F82">
    <w:name w:val="2F613C9C7BED4C83B56BEC06062E9F82"/>
  </w:style>
  <w:style w:type="paragraph" w:customStyle="1" w:styleId="58F88132EFF8420E885299DEF22DCA2F">
    <w:name w:val="58F88132EFF8420E885299DEF22DCA2F"/>
    <w:rsid w:val="00937229"/>
  </w:style>
  <w:style w:type="paragraph" w:customStyle="1" w:styleId="5BDC4BFE45B44FCC9850431686F034B8">
    <w:name w:val="5BDC4BFE45B44FCC9850431686F034B8"/>
    <w:rsid w:val="00937229"/>
  </w:style>
  <w:style w:type="paragraph" w:customStyle="1" w:styleId="A910B724B1384B3E91B1A394252B1202">
    <w:name w:val="A910B724B1384B3E91B1A394252B1202"/>
    <w:rsid w:val="00937229"/>
  </w:style>
  <w:style w:type="character" w:styleId="PlaceholderText">
    <w:name w:val="Placeholder Text"/>
    <w:basedOn w:val="DefaultParagraphFont"/>
    <w:uiPriority w:val="99"/>
    <w:semiHidden/>
    <w:rsid w:val="009372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18</Pages>
  <Words>2620</Words>
  <Characters>13000</Characters>
  <Application>Microsoft Office Word</Application>
  <DocSecurity>0</DocSecurity>
  <Lines>351</Lines>
  <Paragraphs>211</Paragraphs>
  <ScaleCrop>false</ScaleCrop>
  <HeadingPairs>
    <vt:vector size="2" baseType="variant">
      <vt:variant>
        <vt:lpstr>Title</vt:lpstr>
      </vt:variant>
      <vt:variant>
        <vt:i4>1</vt:i4>
      </vt:variant>
    </vt:vector>
  </HeadingPairs>
  <TitlesOfParts>
    <vt:vector size="1" baseType="lpstr">
      <vt:lpstr>King County Housing</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County Housing</dc:title>
  <dc:subject/>
  <dc:creator/>
  <cp:keywords/>
  <dc:description/>
  <cp:lastModifiedBy/>
  <cp:revision>1</cp:revision>
  <dcterms:created xsi:type="dcterms:W3CDTF">2020-12-06T22:42:00Z</dcterms:created>
  <dcterms:modified xsi:type="dcterms:W3CDTF">2020-12-08T01:26:00Z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