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F2744"/>
          <w:sz w:val="40"/>
          <w:szCs w:val="40"/>
        </w:rPr>
        <w:t xml:space="preserve">Retirement Plan Dashboard — Senior Planner Review</w:t>
      </w:r>
    </w:p>
    <w:p>
      <w:pPr>
        <w:spacing w:after="80"/>
      </w:pPr>
      <w:r>
        <w:rPr>
          <w:rFonts w:ascii="Calibri" w:cs="Calibri" w:eastAsia="Calibri" w:hAnsi="Calibri"/>
          <w:i/>
          <w:iCs/>
          <w:color w:val="1A3A5C"/>
          <w:sz w:val="26"/>
          <w:szCs w:val="26"/>
        </w:rPr>
        <w:t xml:space="preserve">Findings, Corrections &amp; Implementation Roadmap</w:t>
      </w:r>
    </w:p>
    <w:p>
      <w:pPr>
        <w:pBdr>
          <w:bottom w:val="single" w:color="B87800" w:sz="8" w:space="4"/>
        </w:pBdr>
        <w:spacing w:after="320"/>
      </w:pPr>
      <w:r>
        <w:rPr>
          <w:rFonts w:ascii="Calibri" w:cs="Calibri" w:eastAsia="Calibri" w:hAnsi="Calibri"/>
          <w:color w:val="5A6A7A"/>
          <w:sz w:val="20"/>
          <w:szCs w:val="20"/>
        </w:rPr>
        <w:t xml:space="preserve">Prepared for: Client file — Frank &amp; Moon Unit Zappa (Ontario)    |    Review date: April 21, 2026</w:t>
      </w:r>
    </w:p>
    <w:p>
      <w:pPr>
        <w:pStyle w:val="Heading1"/>
        <w:spacing w:after="160" w:before="320"/>
      </w:pPr>
      <w:r>
        <w:rPr>
          <w:rFonts w:ascii="Calibri" w:cs="Calibri" w:eastAsia="Calibri" w:hAnsi="Calibri"/>
          <w:b/>
          <w:bCs/>
          <w:color w:val="0F2744"/>
          <w:sz w:val="30"/>
          <w:szCs w:val="30"/>
        </w:rPr>
        <w:t xml:space="preserve">Executive Summary</w:t>
      </w:r>
    </w:p>
    <w:p>
      <w:pPr>
        <w:spacing w:after="120" w:line="300"/>
      </w:pPr>
      <w:r>
        <w:rPr>
          <w:rFonts w:ascii="Calibri" w:cs="Calibri" w:eastAsia="Calibri" w:hAnsi="Calibri"/>
          <w:sz w:val="22"/>
          <w:szCs w:val="22"/>
        </w:rPr>
        <w:t xml:space="preserve">The Retirement Plan Dashboard (retirement_dashboard.html) is an ambitious, visually polished scenario tool that captures most of the architectural ideas in the Retirement Planning Reference Document — five scenarios, stacked-bar income, portfolio-balance trajectory, OAS clawback metric, and a pension-splitting optimizer. The structure is sound.</w:t>
      </w:r>
    </w:p>
    <w:p>
      <w:pPr>
        <w:spacing w:after="120" w:line="300"/>
      </w:pPr>
      <w:r>
        <w:rPr>
          <w:rFonts w:ascii="Calibri" w:cs="Calibri" w:eastAsia="Calibri" w:hAnsi="Calibri"/>
          <w:sz w:val="22"/>
          <w:szCs w:val="22"/>
        </w:rPr>
        <w:t xml:space="preserve">However, the simulation engine has a series of logic and tax errors that, in combination, guarantee the Baseline scenario will project material, persistent shortfalls and significantly misstate after-tax income, taxes paid, estate value, and sustainability in every scenario. The root problem is that the Baseline has no mechanism for generating income between retirement (age 61) and age 65 — RRIF minimums are suppressed pre-65 and the meltdown draw is off — so the plan is mathematically forced to exhaust TFSA and non-registered assets in the first two years, after which annual shortfalls are structural. This is not a data problem; it is a design problem in the decumulation engine.</w:t>
      </w:r>
    </w:p>
    <w:p>
      <w:pPr>
        <w:spacing w:after="120" w:line="300"/>
      </w:pPr>
      <w:r>
        <w:rPr>
          <w:rFonts w:ascii="Calibri" w:cs="Calibri" w:eastAsia="Calibri" w:hAnsi="Calibri"/>
          <w:sz w:val="22"/>
          <w:szCs w:val="22"/>
        </w:rPr>
        <w:t xml:space="preserve">Beyond the shortfall root cause, there are a number of smaller-but-still-material issues: CPP only works at ages 65 or 70 (any other start age silently falls back to the 65 amount); realized non-registered capital gains never hit the tax line; OAS clawback is calculated before pension splitting is applied rather than after; the CPP survivor cap is wildly overstated; LIF maximum rates are defined but never enforced; the RRSP meltdown draws RRSP only and ignores the LIF; and spousal rollover on death deposits non-registered assets into the survivor's RRSP (which is illegal and would fail at the institution). Individually each is modest. Compounded across a 38-year projection they move the answer by tens of thousands of dollars and, more importantly, make the scenario comparison table misleading.</w:t>
      </w:r>
    </w:p>
    <w:p>
      <w:pPr>
        <w:spacing w:after="120" w:line="300"/>
      </w:pPr>
      <w:r>
        <w:rPr>
          <w:rFonts w:ascii="Calibri" w:cs="Calibri" w:eastAsia="Calibri" w:hAnsi="Calibri"/>
          <w:sz w:val="22"/>
          <w:szCs w:val="22"/>
        </w:rPr>
        <w:t xml:space="preserve">The purpose of this document is to (a) inventory the issues by severity, (b) prescribe the fix for each, and (c) sequence the fixes into a four-phase implementation roadmap so the plan produces consistent real after-tax income and runs zero shortfalls across its life. The deliverables are structured so the fixes in Phase 1 alone are sufficient to eliminate all shortfalls in every scenario.</w:t>
      </w:r>
    </w:p>
    <w:p>
      <w:pPr>
        <w:pStyle w:val="Heading2"/>
        <w:spacing w:after="120" w:before="260"/>
      </w:pPr>
      <w:r>
        <w:rPr>
          <w:rFonts w:ascii="Calibri" w:cs="Calibri" w:eastAsia="Calibri" w:hAnsi="Calibri"/>
          <w:b/>
          <w:bCs/>
          <w:color w:val="0F2744"/>
          <w:sz w:val="26"/>
          <w:szCs w:val="26"/>
        </w:rPr>
        <w:t xml:space="preserve">Severity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000"/>
        <w:gridCol w:w="2060"/>
      </w:tblGrid>
      <w:tr>
        <w:trPr>
          <w:tblHeader/>
        </w:trPr>
        <w:tc>
          <w:tcPr>
            <w:tcW w:type="dxa" w:w="13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Severity</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30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Representative issue</w:t>
            </w:r>
          </w:p>
        </w:tc>
        <w:tc>
          <w:tcPr>
            <w:tcW w:type="dxa" w:w="20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Impact if unfixed</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C0392B"/>
                <w:sz w:val="20"/>
                <w:szCs w:val="20"/>
              </w:rPr>
              <w:t xml:space="preserve">Critical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Decumulation engine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Baseline has no pre-65 income source; RRIF only starts at 65 and meltdown is off.</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Guaranteed shortfalls 2027–2030 in Baseline; plan looks unsustainable.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C0392B"/>
                <w:sz w:val="20"/>
                <w:szCs w:val="20"/>
              </w:rPr>
              <w:t xml:space="preserve">Critical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Tax engine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Non-registered capital gains on draw are never added to taxable income.</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Understates tax by 3–6% lifetime; overstates estate.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C0392B"/>
                <w:sz w:val="20"/>
                <w:szCs w:val="20"/>
              </w:rPr>
              <w:t xml:space="preserve">Critical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CPP calculation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calcCPP_Frank/Moon only recognise start age 65 or 70; any other input silently uses age-65 amount.</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Wrong CPP stream for anyone starting at 60, 62, 67, etc.</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B87800"/>
                <w:sz w:val="20"/>
                <w:szCs w:val="20"/>
              </w:rPr>
              <w:t xml:space="preserve">High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OAS clawback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Clawback is computed before pension income splitting is applied.</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Overstates Frank's clawback; understates Moon's.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B87800"/>
                <w:sz w:val="20"/>
                <w:szCs w:val="20"/>
              </w:rPr>
              <w:t xml:space="preserve">High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Survivor scenario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On Frank's death, non-reg balance is dropped into Moon's RRSP; 40% of LIF is deleted.</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Incorrect survivor portfolio, impossible in law.</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B87800"/>
                <w:sz w:val="20"/>
                <w:szCs w:val="20"/>
              </w:rPr>
              <w:t xml:space="preserve">High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LIF handling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LIF max withdrawal rate defined but not enforced; meltdown draws RRSP only.</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Understates meltdown headroom; estate tax risk remains.</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B87800"/>
                <w:sz w:val="20"/>
                <w:szCs w:val="20"/>
              </w:rPr>
              <w:t xml:space="preserve">Medium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Indexation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Inflation, CPP (2%), OAS (2.5%), tax brackets (2.5%) all hard-coded; D.assumptions.inflation ignored.</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Sensitivity analysis misleading.</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B87800"/>
                <w:sz w:val="20"/>
                <w:szCs w:val="20"/>
              </w:rPr>
              <w:t xml:space="preserve">Medium</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UX / display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Header says "today's dollars" but all figures are nominal; Max Spend tab does not activate.</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Client confusion; lost scenario.</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color w:val="1E8C4A"/>
                <w:sz w:val="20"/>
                <w:szCs w:val="20"/>
              </w:rPr>
              <w:t xml:space="preserve">Low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Feature gaps vs Snap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 taxable-income target, no cash wedge, no Monte Carlo / sequence risk.</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Cannot replicate Parallel Wealth strategies faithfully.</w:t>
            </w:r>
          </w:p>
        </w:tc>
      </w:tr>
    </w:tbl>
    <w:p>
      <w:pPr>
        <w:pStyle w:val="Heading1"/>
        <w:spacing w:after="160" w:before="320"/>
      </w:pPr>
      <w:r>
        <w:rPr>
          <w:rFonts w:ascii="Calibri" w:cs="Calibri" w:eastAsia="Calibri" w:hAnsi="Calibri"/>
          <w:b/>
          <w:bCs/>
          <w:color w:val="0F2744"/>
          <w:sz w:val="30"/>
          <w:szCs w:val="30"/>
        </w:rPr>
        <w:t xml:space="preserve">1. Critical Issues — Root Causes of Shortfalls and Inconsistent Income</w:t>
      </w:r>
    </w:p>
    <w:p>
      <w:pPr>
        <w:pStyle w:val="Heading2"/>
        <w:spacing w:after="120" w:before="260"/>
      </w:pPr>
      <w:r>
        <w:rPr>
          <w:rFonts w:ascii="Calibri" w:cs="Calibri" w:eastAsia="Calibri" w:hAnsi="Calibri"/>
          <w:b/>
          <w:bCs/>
          <w:color w:val="0F2744"/>
          <w:sz w:val="26"/>
          <w:szCs w:val="26"/>
        </w:rPr>
        <w:t xml:space="preserve">1.1 Baseline has no pre-65 income strategy (root cause of all shortfalls)</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runSimulation()</w:t>
      </w:r>
      <w:r>
        <w:rPr>
          <w:rFonts w:ascii="Calibri" w:cs="Calibri" w:eastAsia="Calibri" w:hAnsi="Calibri"/>
          <w:sz w:val="22"/>
          <w:szCs w:val="22"/>
        </w:rPr>
        <w:t xml:space="preserve"> lines 613–629, and Baseline SCENARIO config lines 775–780.</w:t>
      </w:r>
    </w:p>
    <w:p>
      <w:pPr>
        <w:spacing w:after="120" w:line="300"/>
      </w:pPr>
      <w:r>
        <w:rPr>
          <w:rFonts w:ascii="Calibri" w:cs="Calibri" w:eastAsia="Calibri" w:hAnsi="Calibri"/>
          <w:sz w:val="22"/>
          <w:szCs w:val="22"/>
        </w:rPr>
        <w:t xml:space="preserve">In the Baseline scenario, no income-generating mechanism exists between Frank's retirement (2027, age 61) and age 65. RRIF minimum withdrawals are guarded by an age-65 check (ageF &gt;= 65), and cfg.meltdown is false, so rrif_draw_f is zero. With no CPP, no OAS, and no DB pension in this default data set, gross regulated income for those four years is $0. Spending is $75,000 + mortgage ~$16,800 = ~$91,800. The gap-filling logic drains TFSA ($75,000) and the non-registered account ($25,000) within the first year or two; every subsequent year shows a shortfall until CPP/OAS begin at 65.</w:t>
      </w:r>
    </w:p>
    <w:p>
      <w:pPr>
        <w:pBdr>
          <w:left w:val="single" w:color="C0392B" w:sz="20" w:space="6"/>
        </w:pBdr>
        <w:shd w:fill="FFF8E8" w:val="clear"/>
        <w:spacing w:after="140" w:before="80" w:line="280"/>
        <w:ind w:left="200"/>
      </w:pPr>
      <w:r>
        <w:rPr>
          <w:rFonts w:ascii="Calibri" w:cs="Calibri" w:eastAsia="Calibri" w:hAnsi="Calibri"/>
          <w:b/>
          <w:bCs/>
          <w:color w:val="C0392B"/>
          <w:sz w:val="22"/>
          <w:szCs w:val="22"/>
        </w:rPr>
        <w:t xml:space="preserve">Consequence: </w:t>
      </w:r>
      <w:r>
        <w:rPr>
          <w:rFonts w:ascii="Calibri" w:cs="Calibri" w:eastAsia="Calibri" w:hAnsi="Calibri"/>
          <w:sz w:val="22"/>
          <w:szCs w:val="22"/>
        </w:rPr>
        <w:t xml:space="preserve">The 'Plan Sustainability' KPI will flag the Baseline as unsustainable from year 2 onward, and the Scenario Comparison table will show Baseline as the weakest scenario for reasons that have nothing to do with the Baseline strategy itself — they're a modelling artefact.</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Allow discretionary RRSP withdrawals before age 65 in every scenario, not just in meltdown. A retired taxpayer can collapse an RRSP at any age (subject to withholding).</w:t>
      </w:r>
    </w:p>
    <w:p>
      <w:pPr>
        <w:pStyle w:val="ListParagraph"/>
        <w:numPr>
          <w:ilvl w:val="0"/>
          <w:numId w:val="2"/>
        </w:numPr>
        <w:spacing w:after="60" w:line="290"/>
      </w:pPr>
      <w:r>
        <w:rPr>
          <w:rFonts w:ascii="Calibri" w:cs="Calibri" w:eastAsia="Calibri" w:hAnsi="Calibri"/>
          <w:sz w:val="22"/>
          <w:szCs w:val="22"/>
        </w:rPr>
        <w:t xml:space="preserve">Introduce a 'taxable income target' like Snap Projections: for each year, compute the gross RRSP draw needed to produce the after-tax income required to fund spending, and top up from TFSA/non-reg only when the target would cause clawback or push the taxpayer into an unfavourable bracket.</w:t>
      </w:r>
    </w:p>
    <w:p>
      <w:pPr>
        <w:pStyle w:val="ListParagraph"/>
        <w:numPr>
          <w:ilvl w:val="0"/>
          <w:numId w:val="2"/>
        </w:numPr>
        <w:spacing w:after="60" w:line="290"/>
      </w:pPr>
      <w:r>
        <w:rPr>
          <w:rFonts w:ascii="Calibri" w:cs="Calibri" w:eastAsia="Calibri" w:hAnsi="Calibri"/>
          <w:sz w:val="22"/>
          <w:szCs w:val="22"/>
        </w:rPr>
        <w:t xml:space="preserve">Convert RRSP → RRIF optionally at age 65 (to unlock the $2,000 pension credit and 50% pension splitting); keep it as RRSP before that and draw as ordinary RRSP withdrawals (still taxable).</w:t>
      </w:r>
    </w:p>
    <w:p>
      <w:pPr>
        <w:pStyle w:val="ListParagraph"/>
        <w:numPr>
          <w:ilvl w:val="0"/>
          <w:numId w:val="2"/>
        </w:numPr>
        <w:spacing w:after="60" w:line="290"/>
      </w:pPr>
      <w:r>
        <w:rPr>
          <w:rFonts w:ascii="Calibri" w:cs="Calibri" w:eastAsia="Calibri" w:hAnsi="Calibri"/>
          <w:sz w:val="22"/>
          <w:szCs w:val="22"/>
        </w:rPr>
        <w:t xml:space="preserve">Enforce the CFM decumulation order as an explicit setting: default Snap order (Non-reg → TFSA → Registered) for the Baseline, and a reversed order (Registered-first) for the Meltdown scenario.</w:t>
      </w:r>
    </w:p>
    <w:p>
      <w:pPr>
        <w:pStyle w:val="Heading2"/>
        <w:spacing w:after="120" w:before="260"/>
      </w:pPr>
      <w:r>
        <w:rPr>
          <w:rFonts w:ascii="Calibri" w:cs="Calibri" w:eastAsia="Calibri" w:hAnsi="Calibri"/>
          <w:b/>
          <w:bCs/>
          <w:color w:val="0F2744"/>
          <w:sz w:val="26"/>
          <w:szCs w:val="26"/>
        </w:rPr>
        <w:t xml:space="preserve">1.2 Non-registered realised capital gains are never taxed</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runSimulation()</w:t>
      </w:r>
      <w:r>
        <w:rPr>
          <w:rFonts w:ascii="Calibri" w:cs="Calibri" w:eastAsia="Calibri" w:hAnsi="Calibri"/>
          <w:sz w:val="22"/>
          <w:szCs w:val="22"/>
        </w:rPr>
        <w:t xml:space="preserve"> lines 680, 720–722.</w:t>
      </w:r>
    </w:p>
    <w:p>
      <w:pPr>
        <w:spacing w:after="120" w:line="300"/>
      </w:pPr>
      <w:r>
        <w:rPr>
          <w:rFonts w:ascii="Calibri" w:cs="Calibri" w:eastAsia="Calibri" w:hAnsi="Calibri"/>
          <w:sz w:val="22"/>
          <w:szCs w:val="22"/>
        </w:rPr>
        <w:t xml:space="preserve">When the engine draws from the non-registered account to fill a spending gap, it computes the embedded capital gain on the proportion drawn (gainDrawn) and reduces the ACB accordingly. But gainDrawn never enters the year's taxable income. In parallel, the non-reg balance grows at the full return rate (1+R) each year, so interest/dividends/capital-gains distributions also escape tax. The non-registered account is being modelled as a second TFSA.</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 Current code (line 720–722)
const gainDrawn = nonreg_draw_f &gt; 0 ? (nonreg_draw_f/st.nonreg_f)*Math.max(0,st.nonreg_f-st.nonreg_acb_f) : 0;
st.nonreg_acb_f = Math.max(0, st.nonreg_acb_f - (nonreg_draw_f - gainDrawn));
st.nonreg_f = Math.max(0, (st.nonreg_f - nonreg_draw_f) * (1+R));
// gainDrawn is computed, then discarded.</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Include 50% of gainDrawn (or 66.67% above the $250K annual threshold per the 2026 rule) in each spouse's taxable income for the year of draw.</w:t>
      </w:r>
    </w:p>
    <w:p>
      <w:pPr>
        <w:pStyle w:val="ListParagraph"/>
        <w:numPr>
          <w:ilvl w:val="0"/>
          <w:numId w:val="2"/>
        </w:numPr>
        <w:spacing w:after="60" w:line="290"/>
      </w:pPr>
      <w:r>
        <w:rPr>
          <w:rFonts w:ascii="Calibri" w:cs="Calibri" w:eastAsia="Calibri" w:hAnsi="Calibri"/>
          <w:sz w:val="22"/>
          <w:szCs w:val="22"/>
        </w:rPr>
        <w:t xml:space="preserve">Model annual taxable distributions from the non-registered account using an asset-allocation split — e.g., interest yield, eligible dividend yield (with gross-up and DTC), and realised capital gains rate — summing to the return rate. Without this, the non-reg account outperforms a TFSA, which is never true in reality.</w:t>
      </w:r>
    </w:p>
    <w:p>
      <w:pPr>
        <w:pStyle w:val="ListParagraph"/>
        <w:numPr>
          <w:ilvl w:val="0"/>
          <w:numId w:val="2"/>
        </w:numPr>
        <w:spacing w:after="60" w:line="290"/>
      </w:pPr>
      <w:r>
        <w:rPr>
          <w:rFonts w:ascii="Calibri" w:cs="Calibri" w:eastAsia="Calibri" w:hAnsi="Calibri"/>
          <w:sz w:val="22"/>
          <w:szCs w:val="22"/>
        </w:rPr>
        <w:t xml:space="preserve">Track ACB per spouse (the intake form allows joint ownership; the model treats all non-reg as Frank's) and apply the spousal-rollover rule on death.</w:t>
      </w:r>
    </w:p>
    <w:p>
      <w:pPr>
        <w:pStyle w:val="Heading2"/>
        <w:spacing w:after="120" w:before="260"/>
      </w:pPr>
      <w:r>
        <w:rPr>
          <w:rFonts w:ascii="Calibri" w:cs="Calibri" w:eastAsia="Calibri" w:hAnsi="Calibri"/>
          <w:b/>
          <w:bCs/>
          <w:color w:val="0F2744"/>
          <w:sz w:val="26"/>
          <w:szCs w:val="26"/>
        </w:rPr>
        <w:t xml:space="preserve">1.3 CPP calculator only handles start age 65 or 70</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calcCPP_Frank</w:t>
      </w:r>
      <w:r>
        <w:rPr>
          <w:rFonts w:ascii="Calibri" w:cs="Calibri" w:eastAsia="Calibri" w:hAnsi="Calibri"/>
          <w:sz w:val="22"/>
          <w:szCs w:val="22"/>
        </w:rPr>
        <w:t xml:space="preserve"> line 438; </w:t>
      </w:r>
      <w:r>
        <w:rPr>
          <w:rFonts w:ascii="Consolas" w:cs="Consolas" w:eastAsia="Consolas" w:hAnsi="Consolas"/>
          <w:sz w:val="20"/>
          <w:szCs w:val="20"/>
        </w:rPr>
        <w:t xml:space="preserve">calcCPP_Moon</w:t>
      </w:r>
      <w:r>
        <w:rPr>
          <w:rFonts w:ascii="Calibri" w:cs="Calibri" w:eastAsia="Calibri" w:hAnsi="Calibri"/>
          <w:sz w:val="22"/>
          <w:szCs w:val="22"/>
        </w:rPr>
        <w:t xml:space="preserve"> line 447.</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const amount = startAge===70 ? D.frank.cpp70 : D.frank.cpp65;</w:t>
      </w:r>
    </w:p>
    <w:p>
      <w:pPr>
        <w:spacing w:after="120" w:line="300"/>
      </w:pPr>
      <w:r>
        <w:rPr>
          <w:rFonts w:ascii="Calibri" w:cs="Calibri" w:eastAsia="Calibri" w:hAnsi="Calibri"/>
          <w:sz w:val="22"/>
          <w:szCs w:val="22"/>
        </w:rPr>
        <w:t xml:space="preserve">Any startAge other than exactly 70 (e.g., 62, 66, 67) silently falls back to the age-65 stored amount with no actuarial adjustment. The reference document prescribes −0.6% per month of early claim and +0.7% per month of late claim (CPP 6.1). The dashboard's scenario toggles currently only pick 65 or 70, which masks the bug; as soon as the intake form allows intermediate ages (and it does, via s1_cpp_start/s2_cpp_start), the projection will be wrong.</w:t>
      </w:r>
    </w:p>
    <w:p>
      <w:pPr>
        <w:pStyle w:val="Heading4"/>
        <w:spacing w:after="60" w:before="180"/>
      </w:pPr>
      <w:r>
        <w:rPr>
          <w:rFonts w:ascii="Calibri" w:cs="Calibri" w:eastAsia="Calibri" w:hAnsi="Calibri"/>
          <w:b/>
          <w:bCs/>
          <w:color w:val="1A3A5C"/>
          <w:sz w:val="20"/>
          <w:szCs w:val="20"/>
        </w:rPr>
        <w:t xml:space="preserve">Fix</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function calcCPP(person, year, startAge){
  const age = year - person.dob;
  if (age &lt; startAge) return 0;
  const monthsFrom65 = (startAge - 65) * 12;
  const adj = monthsFrom65 &lt; 0
    ? 1 + monthsFrom65 * 0.006     // early: −0.6%/mo
    : 1 + monthsFrom65 * 0.007;    // late:  +0.7%/mo
  const amount = person.cpp65 * adj;
  const startYear = person.dob + startAge;
  return amount * Math.pow(1 + D.assumptions.cppIndex, year - startYear);
}</w:t>
      </w:r>
    </w:p>
    <w:p>
      <w:pPr>
        <w:pStyle w:val="ListParagraph"/>
        <w:numPr>
          <w:ilvl w:val="0"/>
          <w:numId w:val="2"/>
        </w:numPr>
        <w:spacing w:after="60" w:line="290"/>
      </w:pPr>
      <w:r>
        <w:rPr>
          <w:rFonts w:ascii="Calibri" w:cs="Calibri" w:eastAsia="Calibri" w:hAnsi="Calibri"/>
          <w:sz w:val="22"/>
          <w:szCs w:val="22"/>
        </w:rPr>
        <w:t xml:space="preserve">Store only cpp65 per person; compute every other start age from it.</w:t>
      </w:r>
    </w:p>
    <w:p>
      <w:pPr>
        <w:pStyle w:val="ListParagraph"/>
        <w:numPr>
          <w:ilvl w:val="0"/>
          <w:numId w:val="2"/>
        </w:numPr>
        <w:spacing w:after="60" w:line="290"/>
      </w:pPr>
      <w:r>
        <w:rPr>
          <w:rFonts w:ascii="Calibri" w:cs="Calibri" w:eastAsia="Calibri" w:hAnsi="Calibri"/>
          <w:sz w:val="22"/>
          <w:szCs w:val="22"/>
        </w:rPr>
        <w:t xml:space="preserve">Replace the hard-coded 1.02 indexation factor with D.assumptions.cppIndex (default 0.02), exposed as a planner-facing input.</w:t>
      </w:r>
    </w:p>
    <w:p>
      <w:pPr>
        <w:pStyle w:val="Heading2"/>
        <w:spacing w:after="120" w:before="260"/>
      </w:pPr>
      <w:r>
        <w:rPr>
          <w:rFonts w:ascii="Calibri" w:cs="Calibri" w:eastAsia="Calibri" w:hAnsi="Calibri"/>
          <w:b/>
          <w:bCs/>
          <w:color w:val="0F2744"/>
          <w:sz w:val="26"/>
          <w:szCs w:val="26"/>
        </w:rPr>
        <w:t xml:space="preserve">1.4 OAS clawback is calculated before pension income splitting</w:t>
      </w:r>
    </w:p>
    <w:p>
      <w:pPr>
        <w:spacing w:after="120" w:line="300"/>
      </w:pPr>
      <w:r>
        <w:rPr>
          <w:rFonts w:ascii="Calibri" w:cs="Calibri" w:eastAsia="Calibri" w:hAnsi="Calibri"/>
          <w:sz w:val="22"/>
          <w:szCs w:val="22"/>
        </w:rPr>
        <w:t xml:space="preserve">Location: lines 637–649.</w:t>
      </w:r>
    </w:p>
    <w:p>
      <w:pPr>
        <w:spacing w:after="120" w:line="300"/>
      </w:pPr>
      <w:r>
        <w:rPr>
          <w:rFonts w:ascii="Calibri" w:cs="Calibri" w:eastAsia="Calibri" w:hAnsi="Calibri"/>
          <w:sz w:val="22"/>
          <w:szCs w:val="22"/>
        </w:rPr>
        <w:t xml:space="preserve">The engine calculates clawF and clawM using pre-split taxable income, then applies pension splitting, then uses those stale clawback amounts in the final tax total. In practice, pension splitting transfers income from Frank to Moon — Frank's post-split income is lower (lower clawback) and Moon's is higher (possibly triggering clawback she otherwise would not have). The optimizer itself doesn't consider clawback, so it may choose a split fraction that minimizes income tax in isolation but creates clawback in aggregate.</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Re-compute OAS clawback AFTER splitting using each spouse's final taxable income.</w:t>
      </w:r>
    </w:p>
    <w:p>
      <w:pPr>
        <w:pStyle w:val="ListParagraph"/>
        <w:numPr>
          <w:ilvl w:val="0"/>
          <w:numId w:val="2"/>
        </w:numPr>
        <w:spacing w:after="60" w:line="290"/>
      </w:pPr>
      <w:r>
        <w:rPr>
          <w:rFonts w:ascii="Calibri" w:cs="Calibri" w:eastAsia="Calibri" w:hAnsi="Calibri"/>
          <w:sz w:val="22"/>
          <w:szCs w:val="22"/>
        </w:rPr>
        <w:t xml:space="preserve">In optimalSplit(), include the clawback in the 'combined' objective function:</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const clawFnet = oasClawback(frankEligible*(1-frac)+frankOther, year);
const clawMnet = oasClawback(moonIncome+split, year);
const combined = fTax + mTax + clawFnet + clawMnet;</w:t>
      </w:r>
    </w:p>
    <w:p>
      <w:pPr>
        <w:pStyle w:val="ListParagraph"/>
        <w:numPr>
          <w:ilvl w:val="0"/>
          <w:numId w:val="2"/>
        </w:numPr>
        <w:spacing w:after="60" w:line="290"/>
      </w:pPr>
      <w:r>
        <w:rPr>
          <w:rFonts w:ascii="Calibri" w:cs="Calibri" w:eastAsia="Calibri" w:hAnsi="Calibri"/>
          <w:sz w:val="22"/>
          <w:szCs w:val="22"/>
        </w:rPr>
        <w:t xml:space="preserve">Note that OAS clawback itself feeds back into net income used for Age Amount phase-out. Run one or two iterations until stable.</w:t>
      </w:r>
    </w:p>
    <w:p>
      <w:pPr>
        <w:pStyle w:val="Heading2"/>
        <w:spacing w:after="120" w:before="260"/>
      </w:pPr>
      <w:r>
        <w:rPr>
          <w:rFonts w:ascii="Calibri" w:cs="Calibri" w:eastAsia="Calibri" w:hAnsi="Calibri"/>
          <w:b/>
          <w:bCs/>
          <w:color w:val="0F2744"/>
          <w:sz w:val="26"/>
          <w:szCs w:val="26"/>
        </w:rPr>
        <w:t xml:space="preserve">1.5 CPP survivor-benefit cap is wildly overstated</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calcCPP_Moon</w:t>
      </w:r>
      <w:r>
        <w:rPr>
          <w:rFonts w:ascii="Calibri" w:cs="Calibri" w:eastAsia="Calibri" w:hAnsi="Calibri"/>
          <w:sz w:val="22"/>
          <w:szCs w:val="22"/>
        </w:rPr>
        <w:t xml:space="preserve"> lines 452–456.</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cpp = Math.min(cpp + surv * Math.pow(1.02, year-frankDeathYear),
  (D.frank.cpp70 + D.moon.cpp70) * Math.pow(1.02, year - 2043) * 1.0);</w:t>
      </w:r>
    </w:p>
    <w:p>
      <w:pPr>
        <w:spacing w:after="120" w:line="300"/>
      </w:pPr>
      <w:r>
        <w:rPr>
          <w:rFonts w:ascii="Calibri" w:cs="Calibri" w:eastAsia="Calibri" w:hAnsi="Calibri"/>
          <w:sz w:val="22"/>
          <w:szCs w:val="22"/>
        </w:rPr>
        <w:t xml:space="preserve">CRA's combined-retirement-plus-survivor cap equals the maximum CPP retirement pension for a single person at the survivor's age (2026: ~$1,433/month at 65 after the enhanced CPP, ~$1,065 at 60, etc.). The dashboard caps at the SUM of both spouses' age-70 CPP amounts — roughly double the correct ceiling — so Moon can end up drawing far more than CRA would allow. The reference 'year - 2043' is also arbitrary (it appears to be Moon's age-74 year but nothing in context uses it).</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Replace the cap with CPP_MAX_RETIREMENT[year] × age-adjustment factor (using the survivor's actual age, not a fixed year).</w:t>
      </w:r>
    </w:p>
    <w:p>
      <w:pPr>
        <w:pStyle w:val="ListParagraph"/>
        <w:numPr>
          <w:ilvl w:val="0"/>
          <w:numId w:val="2"/>
        </w:numPr>
        <w:spacing w:after="60" w:line="290"/>
      </w:pPr>
      <w:r>
        <w:rPr>
          <w:rFonts w:ascii="Calibri" w:cs="Calibri" w:eastAsia="Calibri" w:hAnsi="Calibri"/>
          <w:sz w:val="22"/>
          <w:szCs w:val="22"/>
        </w:rPr>
        <w:t xml:space="preserve">Survivor benefit formula per CRA (simplified): under 65 = flat $254.81 + 37.5% × deceased's pension; 65+ = 60% × deceased's pension; then the combined-with-own-pension cap applies.</w:t>
      </w:r>
    </w:p>
    <w:p>
      <w:pPr>
        <w:pStyle w:val="Heading2"/>
        <w:spacing w:after="120" w:before="260"/>
      </w:pPr>
      <w:r>
        <w:rPr>
          <w:rFonts w:ascii="Calibri" w:cs="Calibri" w:eastAsia="Calibri" w:hAnsi="Calibri"/>
          <w:b/>
          <w:bCs/>
          <w:color w:val="0F2744"/>
          <w:sz w:val="26"/>
          <w:szCs w:val="26"/>
        </w:rPr>
        <w:t xml:space="preserve">1.6 Survivor scenario: assets move to the wrong account types</w:t>
      </w:r>
    </w:p>
    <w:p>
      <w:pPr>
        <w:spacing w:after="120" w:line="300"/>
      </w:pPr>
      <w:r>
        <w:rPr>
          <w:rFonts w:ascii="Calibri" w:cs="Calibri" w:eastAsia="Calibri" w:hAnsi="Calibri"/>
          <w:sz w:val="22"/>
          <w:szCs w:val="22"/>
        </w:rPr>
        <w:t xml:space="preserve">Location: lines 576–592 (isFirstDeathYear block).</w:t>
      </w:r>
    </w:p>
    <w:p>
      <w:pPr>
        <w:spacing w:after="120" w:line="300"/>
      </w:pPr>
      <w:r>
        <w:rPr>
          <w:rFonts w:ascii="Calibri" w:cs="Calibri" w:eastAsia="Calibri" w:hAnsi="Calibri"/>
          <w:sz w:val="22"/>
          <w:szCs w:val="22"/>
        </w:rPr>
        <w:t xml:space="preserve">Three separate errors in the death-year rollover:</w:t>
      </w:r>
    </w:p>
    <w:p>
      <w:pPr>
        <w:pStyle w:val="ListParagraph"/>
        <w:numPr>
          <w:ilvl w:val="0"/>
          <w:numId w:val="2"/>
        </w:numPr>
        <w:spacing w:after="60" w:line="290"/>
      </w:pPr>
      <w:r>
        <w:rPr>
          <w:rFonts w:ascii="Calibri" w:cs="Calibri" w:eastAsia="Calibri" w:hAnsi="Calibri"/>
          <w:b/>
          <w:bCs/>
          <w:sz w:val="22"/>
          <w:szCs w:val="22"/>
        </w:rPr>
        <w:t xml:space="preserve">Non-reg → RRSP: </w:t>
      </w:r>
      <w:r>
        <w:rPr>
          <w:rFonts w:ascii="Calibri" w:cs="Calibri" w:eastAsia="Calibri" w:hAnsi="Calibri"/>
          <w:sz w:val="22"/>
          <w:szCs w:val="22"/>
        </w:rPr>
        <w:t xml:space="preserve">After computing a deemed-disposition capital-gains tax, the remaining non-reg is deposited into Moon's RRSP (</w:t>
      </w:r>
      <w:r>
        <w:rPr>
          <w:rFonts w:ascii="Consolas" w:cs="Consolas" w:eastAsia="Consolas" w:hAnsi="Consolas"/>
          <w:sz w:val="20"/>
          <w:szCs w:val="20"/>
        </w:rPr>
        <w:t xml:space="preserve">st.rrsp_m += st.nonreg_f</w:t>
      </w:r>
      <w:r>
        <w:rPr>
          <w:rFonts w:ascii="Calibri" w:cs="Calibri" w:eastAsia="Calibri" w:hAnsi="Calibri"/>
          <w:sz w:val="22"/>
          <w:szCs w:val="22"/>
        </w:rPr>
        <w:t xml:space="preserve">). This is impossible in law — there is no deemed contribution room. Non-reg should transfer to the surviving spouse as non-registered at the deceased's ACB (spousal rollover, if elected) or at FMV (triggering the deemed disposition).</w:t>
      </w:r>
    </w:p>
    <w:p>
      <w:pPr>
        <w:pStyle w:val="ListParagraph"/>
        <w:numPr>
          <w:ilvl w:val="0"/>
          <w:numId w:val="2"/>
        </w:numPr>
        <w:spacing w:after="60" w:line="290"/>
      </w:pPr>
      <w:r>
        <w:rPr>
          <w:rFonts w:ascii="Calibri" w:cs="Calibri" w:eastAsia="Calibri" w:hAnsi="Calibri"/>
          <w:b/>
          <w:bCs/>
          <w:sz w:val="22"/>
          <w:szCs w:val="22"/>
        </w:rPr>
        <w:t xml:space="preserve">LIF: 40% of Frank's LIF is deleted (</w:t>
      </w:r>
      <w:r>
        <w:rPr>
          <w:rFonts w:ascii="Consolas" w:cs="Consolas" w:eastAsia="Consolas" w:hAnsi="Consolas"/>
          <w:sz w:val="20"/>
          <w:szCs w:val="20"/>
        </w:rPr>
        <w:t xml:space="preserve">st.rrsp_m += st.lif_f * 0.60</w:t>
      </w:r>
      <w:r>
        <w:rPr>
          <w:rFonts w:ascii="Calibri" w:cs="Calibri" w:eastAsia="Calibri" w:hAnsi="Calibri"/>
          <w:sz w:val="22"/>
          <w:szCs w:val="22"/>
        </w:rPr>
        <w:t xml:space="preserve">; st.lif_f = 0). The 60% is also being transferred to Moon's RRSP, when it should continue tax-deferred in Moon's LIF (or be commuted to her LIRA/LIF). The 60% figure is from the DB pension survivor benefit — it has nothing to do with LIF death rollovers, which are 100% to the surviving spouse.</w:t>
      </w:r>
    </w:p>
    <w:p>
      <w:pPr>
        <w:pStyle w:val="ListParagraph"/>
        <w:numPr>
          <w:ilvl w:val="0"/>
          <w:numId w:val="2"/>
        </w:numPr>
        <w:spacing w:after="60" w:line="290"/>
      </w:pPr>
      <w:r>
        <w:rPr>
          <w:rFonts w:ascii="Calibri" w:cs="Calibri" w:eastAsia="Calibri" w:hAnsi="Calibri"/>
          <w:b/>
          <w:bCs/>
          <w:sz w:val="22"/>
          <w:szCs w:val="22"/>
        </w:rPr>
        <w:t xml:space="preserve">Terminal return: </w:t>
      </w:r>
      <w:r>
        <w:rPr>
          <w:rFonts w:ascii="Calibri" w:cs="Calibri" w:eastAsia="Calibri" w:hAnsi="Calibri"/>
          <w:sz w:val="22"/>
          <w:szCs w:val="22"/>
        </w:rPr>
        <w:t xml:space="preserve">Frank's final-year tax return is not calculated. If any RRSP/RRIF is not rolled to Moon (e.g., a portion designated to another beneficiary), it is fully included in final income — a ~50% tax event in Ontario.</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Add st.nonreg_m and st.nonreg_acb_m. On death, transfer non-reg via spousal rollover (ACB carries over, no immediate tax).</w:t>
      </w:r>
    </w:p>
    <w:p>
      <w:pPr>
        <w:pStyle w:val="ListParagraph"/>
        <w:numPr>
          <w:ilvl w:val="0"/>
          <w:numId w:val="2"/>
        </w:numPr>
        <w:spacing w:after="60" w:line="290"/>
      </w:pPr>
      <w:r>
        <w:rPr>
          <w:rFonts w:ascii="Calibri" w:cs="Calibri" w:eastAsia="Calibri" w:hAnsi="Calibri"/>
          <w:sz w:val="22"/>
          <w:szCs w:val="22"/>
        </w:rPr>
        <w:t xml:space="preserve">Transfer LIF 100% to Moon's LIF (or roll to her RRSP if legislation allows and she has room).</w:t>
      </w:r>
    </w:p>
    <w:p>
      <w:pPr>
        <w:pStyle w:val="ListParagraph"/>
        <w:numPr>
          <w:ilvl w:val="0"/>
          <w:numId w:val="2"/>
        </w:numPr>
        <w:spacing w:after="60" w:line="290"/>
      </w:pPr>
      <w:r>
        <w:rPr>
          <w:rFonts w:ascii="Calibri" w:cs="Calibri" w:eastAsia="Calibri" w:hAnsi="Calibri"/>
          <w:sz w:val="22"/>
          <w:szCs w:val="22"/>
        </w:rPr>
        <w:t xml:space="preserve">In the 'terminal return' year, compute tax on any unsheltered balances at Frank's top marginal rate and deduct from the estate.</w:t>
      </w:r>
    </w:p>
    <w:p>
      <w:pPr>
        <w:pStyle w:val="ListParagraph"/>
        <w:numPr>
          <w:ilvl w:val="0"/>
          <w:numId w:val="2"/>
        </w:numPr>
        <w:spacing w:after="60" w:line="290"/>
      </w:pPr>
      <w:r>
        <w:rPr>
          <w:rFonts w:ascii="Calibri" w:cs="Calibri" w:eastAsia="Calibri" w:hAnsi="Calibri"/>
          <w:sz w:val="22"/>
          <w:szCs w:val="22"/>
        </w:rPr>
        <w:t xml:space="preserve">For the DB pension, set dbSurvivor = 60% of what Frank was receiving at death (indexed forward), which is a distinct stream from the LIF/RRSP rollover.</w:t>
      </w:r>
    </w:p>
    <w:p>
      <w:pPr>
        <w:pStyle w:val="Heading1"/>
        <w:spacing w:after="160" w:before="320"/>
      </w:pPr>
      <w:r>
        <w:rPr>
          <w:rFonts w:ascii="Calibri" w:cs="Calibri" w:eastAsia="Calibri" w:hAnsi="Calibri"/>
          <w:b/>
          <w:bCs/>
          <w:color w:val="0F2744"/>
          <w:sz w:val="30"/>
          <w:szCs w:val="30"/>
        </w:rPr>
        <w:t xml:space="preserve">2. Tax Engine Issues</w:t>
      </w:r>
    </w:p>
    <w:p>
      <w:pPr>
        <w:pStyle w:val="Heading2"/>
        <w:spacing w:after="120" w:before="260"/>
      </w:pPr>
      <w:r>
        <w:rPr>
          <w:rFonts w:ascii="Calibri" w:cs="Calibri" w:eastAsia="Calibri" w:hAnsi="Calibri"/>
          <w:b/>
          <w:bCs/>
          <w:color w:val="0F2744"/>
          <w:sz w:val="26"/>
          <w:szCs w:val="26"/>
        </w:rPr>
        <w:t xml:space="preserve">2.1 Ontario indexation and surtax thresholds</w:t>
      </w:r>
    </w:p>
    <w:p>
      <w:pPr>
        <w:spacing w:after="120" w:line="300"/>
      </w:pPr>
      <w:r>
        <w:rPr>
          <w:rFonts w:ascii="Calibri" w:cs="Calibri" w:eastAsia="Calibri" w:hAnsi="Calibri"/>
          <w:sz w:val="22"/>
          <w:szCs w:val="22"/>
        </w:rPr>
        <w:t xml:space="preserve">The tax engine uses idx = 1.025^(year−2026) for both federal and Ontario brackets. In reality, the Ontario indexation factor is 1.9% for 2026 (and differs each year), federal indexation is tied to CPI but capped, and the Ontario $150,000 and $220,000 brackets are politically fixed. The code does keep $150K and $220K static (correct), but applies a 2.5% factor to the surtax thresholds s1 ($5,315) and s2 ($6,802); these are also not indexed in Ontario. Result: surtax kicks in at the wrong income level after a few years of projection.</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Split indexation into three inputs: D.assumptions.fedIndex, D.assumptions.onIndex, D.assumptions.cpiIndex.</w:t>
      </w:r>
    </w:p>
    <w:p>
      <w:pPr>
        <w:pStyle w:val="ListParagraph"/>
        <w:numPr>
          <w:ilvl w:val="0"/>
          <w:numId w:val="2"/>
        </w:numPr>
        <w:spacing w:after="60" w:line="290"/>
      </w:pPr>
      <w:r>
        <w:rPr>
          <w:rFonts w:ascii="Calibri" w:cs="Calibri" w:eastAsia="Calibri" w:hAnsi="Calibri"/>
          <w:sz w:val="22"/>
          <w:szCs w:val="22"/>
        </w:rPr>
        <w:t xml:space="preserve">Keep surtax thresholds static (not indexed).</w:t>
      </w:r>
    </w:p>
    <w:p>
      <w:pPr>
        <w:pStyle w:val="ListParagraph"/>
        <w:numPr>
          <w:ilvl w:val="0"/>
          <w:numId w:val="2"/>
        </w:numPr>
        <w:spacing w:after="60" w:line="290"/>
      </w:pPr>
      <w:r>
        <w:rPr>
          <w:rFonts w:ascii="Calibri" w:cs="Calibri" w:eastAsia="Calibri" w:hAnsi="Calibri"/>
          <w:sz w:val="22"/>
          <w:szCs w:val="22"/>
        </w:rPr>
        <w:t xml:space="preserve">Add Ontario Health Premium ($0–$900 on taxable income &gt; $20,000) — currently not modelled.</w:t>
      </w:r>
    </w:p>
    <w:p>
      <w:pPr>
        <w:pStyle w:val="Heading2"/>
        <w:spacing w:after="120" w:before="260"/>
      </w:pPr>
      <w:r>
        <w:rPr>
          <w:rFonts w:ascii="Calibri" w:cs="Calibri" w:eastAsia="Calibri" w:hAnsi="Calibri"/>
          <w:b/>
          <w:bCs/>
          <w:color w:val="0F2744"/>
          <w:sz w:val="26"/>
          <w:szCs w:val="26"/>
        </w:rPr>
        <w:t xml:space="preserve">2.2 Non-registered taxation during accumulation</w:t>
      </w:r>
    </w:p>
    <w:p>
      <w:pPr>
        <w:spacing w:after="120" w:line="300"/>
      </w:pPr>
      <w:r>
        <w:rPr>
          <w:rFonts w:ascii="Calibri" w:cs="Calibri" w:eastAsia="Calibri" w:hAnsi="Calibri"/>
          <w:sz w:val="22"/>
          <w:szCs w:val="22"/>
        </w:rPr>
        <w:t xml:space="preserve">As noted in 1.2, the non-reg account grows at the full return rate with no annual tax drag. In reality, interest is taxable at full marginal rate; eligible Canadian dividends are taxed after gross-up + DTC (roughly 39% effective at the top bracket); and capital gains are 50% included (above $250K individual, 66.67%).</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Add an asset-allocation panel for non-reg: % interest, % Canadian eligible dividends, % foreign dividends, % unrealised/realised capital gains.</w:t>
      </w:r>
    </w:p>
    <w:p>
      <w:pPr>
        <w:pStyle w:val="ListParagraph"/>
        <w:numPr>
          <w:ilvl w:val="0"/>
          <w:numId w:val="2"/>
        </w:numPr>
        <w:spacing w:after="60" w:line="290"/>
      </w:pPr>
      <w:r>
        <w:rPr>
          <w:rFonts w:ascii="Calibri" w:cs="Calibri" w:eastAsia="Calibri" w:hAnsi="Calibri"/>
          <w:sz w:val="22"/>
          <w:szCs w:val="22"/>
        </w:rPr>
        <w:t xml:space="preserve">Compute annual taxable distributions: interest = bal × interestYield; eligible div = bal × divYield × 1.38 gross-up (then DTC); capital-gains distribution = bal × cgDistYield × 0.5.</w:t>
      </w:r>
    </w:p>
    <w:p>
      <w:pPr>
        <w:pStyle w:val="ListParagraph"/>
        <w:numPr>
          <w:ilvl w:val="0"/>
          <w:numId w:val="2"/>
        </w:numPr>
        <w:spacing w:after="60" w:line="290"/>
      </w:pPr>
      <w:r>
        <w:rPr>
          <w:rFonts w:ascii="Calibri" w:cs="Calibri" w:eastAsia="Calibri" w:hAnsi="Calibri"/>
          <w:sz w:val="22"/>
          <w:szCs w:val="22"/>
        </w:rPr>
        <w:t xml:space="preserve">On draw, compute realised capital gain on the proportion drawn using the ACB-tracking approach already in place, and add 50% (or 66.67% over $250K) to taxable income.</w:t>
      </w:r>
    </w:p>
    <w:p>
      <w:pPr>
        <w:pStyle w:val="Heading2"/>
        <w:spacing w:after="120" w:before="260"/>
      </w:pPr>
      <w:r>
        <w:rPr>
          <w:rFonts w:ascii="Calibri" w:cs="Calibri" w:eastAsia="Calibri" w:hAnsi="Calibri"/>
          <w:b/>
          <w:bCs/>
          <w:color w:val="0F2744"/>
          <w:sz w:val="26"/>
          <w:szCs w:val="26"/>
        </w:rPr>
        <w:t xml:space="preserve">2.3 Pension income credit double-claim risk</w:t>
      </w:r>
    </w:p>
    <w:p>
      <w:pPr>
        <w:spacing w:after="120" w:line="300"/>
      </w:pPr>
      <w:r>
        <w:rPr>
          <w:rFonts w:ascii="Calibri" w:cs="Calibri" w:eastAsia="Calibri" w:hAnsi="Calibri"/>
          <w:sz w:val="22"/>
          <w:szCs w:val="22"/>
        </w:rPr>
        <w:t xml:space="preserve">The $2,000 pension income credit is applied to both Frank and Moon whenever either has eligible pension income (hasPensionF, hasPensionM). After pension splitting, Moon gets the credit on her allocated share — correct under CRA rules. However, the credit is applied in calcTax() as a straight-line deduction: 2000 × 0.15 federal and 2000 × 0.0505 Ontario. Ontario's actual pension credit is on the first $1,641 (2026), not $2,000. Minor but a ~$18/year error compounded.</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Use $1,641 as the Ontario pension credit base, not $2,000.</w:t>
      </w:r>
    </w:p>
    <w:p>
      <w:pPr>
        <w:pStyle w:val="ListParagraph"/>
        <w:numPr>
          <w:ilvl w:val="0"/>
          <w:numId w:val="2"/>
        </w:numPr>
        <w:spacing w:after="60" w:line="290"/>
      </w:pPr>
      <w:r>
        <w:rPr>
          <w:rFonts w:ascii="Calibri" w:cs="Calibri" w:eastAsia="Calibri" w:hAnsi="Calibri"/>
          <w:sz w:val="22"/>
          <w:szCs w:val="22"/>
        </w:rPr>
        <w:t xml:space="preserve">Only grant the credit to the receiving spouse if she is 65+ OR the income originates from a life annuity/DB pension (RRIF income is not pension-credit-eligible for receiving spouse if the transferor was under 65).</w:t>
      </w:r>
    </w:p>
    <w:p>
      <w:pPr>
        <w:pStyle w:val="Heading2"/>
        <w:spacing w:after="120" w:before="260"/>
      </w:pPr>
      <w:r>
        <w:rPr>
          <w:rFonts w:ascii="Calibri" w:cs="Calibri" w:eastAsia="Calibri" w:hAnsi="Calibri"/>
          <w:b/>
          <w:bCs/>
          <w:color w:val="0F2744"/>
          <w:sz w:val="26"/>
          <w:szCs w:val="26"/>
        </w:rPr>
        <w:t xml:space="preserve">2.4 Age Amount net-income formula is slightly off</w:t>
      </w:r>
    </w:p>
    <w:p>
      <w:pPr>
        <w:spacing w:after="120" w:line="300"/>
      </w:pPr>
      <w:r>
        <w:rPr>
          <w:rFonts w:ascii="Calibri" w:cs="Calibri" w:eastAsia="Calibri" w:hAnsi="Calibri"/>
          <w:sz w:val="22"/>
          <w:szCs w:val="22"/>
        </w:rPr>
        <w:t xml:space="preserve">The code uses 'taxable income' as the phase-out base for Age Amount. CRA uses 'net income' (line 23600), which equals taxable income + pension-income-splitting addback + non-refundable deductions that were applied afterward. For most retirees the two are similar, but splitting can materially distort this: the receiving spouse's net income INCLUDES the split, which can phase out her Age Amount. The current code does compute after splitting, so this is approximately right; however, the calculation should use the pre-calcTax() post-split income directly (currently it does — income = taxableF after split).</w:t>
      </w:r>
    </w:p>
    <w:p>
      <w:pPr>
        <w:pBdr>
          <w:left w:val="single" w:color="1E8C4A" w:sz="20" w:space="6"/>
        </w:pBdr>
        <w:shd w:fill="FFF8E8" w:val="clear"/>
        <w:spacing w:after="140" w:before="80" w:line="280"/>
        <w:ind w:left="200"/>
      </w:pPr>
      <w:r>
        <w:rPr>
          <w:rFonts w:ascii="Calibri" w:cs="Calibri" w:eastAsia="Calibri" w:hAnsi="Calibri"/>
          <w:b/>
          <w:bCs/>
          <w:color w:val="1E8C4A"/>
          <w:sz w:val="22"/>
          <w:szCs w:val="22"/>
        </w:rPr>
        <w:t xml:space="preserve">Verdict: </w:t>
      </w:r>
      <w:r>
        <w:rPr>
          <w:rFonts w:ascii="Calibri" w:cs="Calibri" w:eastAsia="Calibri" w:hAnsi="Calibri"/>
          <w:sz w:val="22"/>
          <w:szCs w:val="22"/>
        </w:rPr>
        <w:t xml:space="preserve">Likely fine in practice. Worth documenting the assumption that taxable income = net income for Age Amount purposes.</w:t>
      </w:r>
    </w:p>
    <w:p>
      <w:pPr>
        <w:pStyle w:val="Heading2"/>
        <w:spacing w:after="120" w:before="260"/>
      </w:pPr>
      <w:r>
        <w:rPr>
          <w:rFonts w:ascii="Calibri" w:cs="Calibri" w:eastAsia="Calibri" w:hAnsi="Calibri"/>
          <w:b/>
          <w:bCs/>
          <w:color w:val="0F2744"/>
          <w:sz w:val="26"/>
          <w:szCs w:val="26"/>
        </w:rPr>
        <w:t xml:space="preserve">2.5 Tax brackets indexed with one factor; BPA with same factor</w:t>
      </w:r>
    </w:p>
    <w:p>
      <w:pPr>
        <w:spacing w:after="120" w:line="300"/>
      </w:pPr>
      <w:r>
        <w:rPr>
          <w:rFonts w:ascii="Calibri" w:cs="Calibri" w:eastAsia="Calibri" w:hAnsi="Calibri"/>
          <w:sz w:val="22"/>
          <w:szCs w:val="22"/>
        </w:rPr>
        <w:t xml:space="preserve">The Basic Personal Amount (federal) has its own phase-out between $181,440 and $258,482 — above $181,440 it reduces by the difference (BPA_high − BPA_low). The code uses a flat 16,129 × idx × 0.15 = BPA credit, ignoring the phase-out. For middle-income Ontario retirees this is immaterial (income never exceeds $181K). But in the Survivor scenario where Moon inherits everything and has concentrated income, she can hit the range.</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Implement the BPA phase-out: BPA = 16,129 − max(0, (netIncome − 181,440) × (16,129 − 14,156) / (258,482 − 181,440)), all indexed.</w:t>
      </w:r>
    </w:p>
    <w:p>
      <w:pPr>
        <w:pStyle w:val="Heading1"/>
        <w:spacing w:after="160" w:before="320"/>
      </w:pPr>
      <w:r>
        <w:rPr>
          <w:rFonts w:ascii="Calibri" w:cs="Calibri" w:eastAsia="Calibri" w:hAnsi="Calibri"/>
          <w:b/>
          <w:bCs/>
          <w:color w:val="0F2744"/>
          <w:sz w:val="30"/>
          <w:szCs w:val="30"/>
        </w:rPr>
        <w:t xml:space="preserve">3. Decumulation and Withdrawal Order</w:t>
      </w:r>
    </w:p>
    <w:p>
      <w:pPr>
        <w:pStyle w:val="Heading2"/>
        <w:spacing w:after="120" w:before="260"/>
      </w:pPr>
      <w:r>
        <w:rPr>
          <w:rFonts w:ascii="Calibri" w:cs="Calibri" w:eastAsia="Calibri" w:hAnsi="Calibri"/>
          <w:b/>
          <w:bCs/>
          <w:color w:val="0F2744"/>
          <w:sz w:val="26"/>
          <w:szCs w:val="26"/>
        </w:rPr>
        <w:t xml:space="preserve">3.1 No taxable-income target</w:t>
      </w:r>
    </w:p>
    <w:p>
      <w:pPr>
        <w:spacing w:after="120" w:line="300"/>
      </w:pPr>
      <w:r>
        <w:rPr>
          <w:rFonts w:ascii="Calibri" w:cs="Calibri" w:eastAsia="Calibri" w:hAnsi="Calibri"/>
          <w:sz w:val="22"/>
          <w:szCs w:val="22"/>
        </w:rPr>
        <w:t xml:space="preserve">Snap Projections' signature feature (reference section 3.7) is taxable-income targeting: set an annual taxable-income target (e.g., $58,523 = bottom of the 20.5% federal bracket, or $95,323 = OAS clawback threshold), and the engine automatically sizes RRSP/RRIF withdrawals to hit it, topping up with TFSA or non-reg if spending needs exceed the target. This is exactly the mechanism Parallel Wealth uses to execute an RRSP meltdown, and it is what lets the plan deliver a consistent real after-tax income.</w:t>
      </w:r>
    </w:p>
    <w:p>
      <w:pPr>
        <w:spacing w:after="120" w:line="300"/>
      </w:pPr>
      <w:r>
        <w:rPr>
          <w:rFonts w:ascii="Calibri" w:cs="Calibri" w:eastAsia="Calibri" w:hAnsi="Calibri"/>
          <w:sz w:val="22"/>
          <w:szCs w:val="22"/>
        </w:rPr>
        <w:t xml:space="preserve">The dashboard's current meltdown logic is a flat nominal draw ($20K–$80K depending on RRSP size) that is neither bracket-aware nor clawback-aware. As the RRSP shrinks, the draw does not adjust downward; the same $40,000 taken at 65 may sit in the 20.5% bracket in year 1 and the 29.65% bracket ten years later as brackets shift and CPP/OAS ramp up.</w:t>
      </w:r>
    </w:p>
    <w:p>
      <w:pPr>
        <w:pStyle w:val="Heading4"/>
        <w:spacing w:after="60" w:before="180"/>
      </w:pPr>
      <w:r>
        <w:rPr>
          <w:rFonts w:ascii="Calibri" w:cs="Calibri" w:eastAsia="Calibri" w:hAnsi="Calibri"/>
          <w:b/>
          <w:bCs/>
          <w:color w:val="1A3A5C"/>
          <w:sz w:val="20"/>
          <w:szCs w:val="20"/>
        </w:rPr>
        <w:t xml:space="preserve">Fix (highest ROI single change)</w:t>
      </w:r>
    </w:p>
    <w:p>
      <w:pPr>
        <w:pStyle w:val="ListParagraph"/>
        <w:numPr>
          <w:ilvl w:val="0"/>
          <w:numId w:val="2"/>
        </w:numPr>
        <w:spacing w:after="60" w:line="290"/>
      </w:pPr>
      <w:r>
        <w:rPr>
          <w:rFonts w:ascii="Calibri" w:cs="Calibri" w:eastAsia="Calibri" w:hAnsi="Calibri"/>
          <w:sz w:val="22"/>
          <w:szCs w:val="22"/>
        </w:rPr>
        <w:t xml:space="preserve">Add a per-year taxable-income-target setting (array, one value per year). Default to $58,523 pre-65 in 2026 dollars (indexed), step up to $95,323 at 65, etc.</w:t>
      </w:r>
    </w:p>
    <w:p>
      <w:pPr>
        <w:pStyle w:val="ListParagraph"/>
        <w:numPr>
          <w:ilvl w:val="0"/>
          <w:numId w:val="2"/>
        </w:numPr>
        <w:spacing w:after="60" w:line="290"/>
      </w:pPr>
      <w:r>
        <w:rPr>
          <w:rFonts w:ascii="Calibri" w:cs="Calibri" w:eastAsia="Calibri" w:hAnsi="Calibri"/>
          <w:sz w:val="22"/>
          <w:szCs w:val="22"/>
        </w:rPr>
        <w:t xml:space="preserve">Solve for the RRSP/RRIF draw that hits that target after accounting for CPP/OAS/DB already received; if target income is less than spending need, top up from TFSA (tax-free) and then from non-reg (partly taxable via cap gains).</w:t>
      </w:r>
    </w:p>
    <w:p>
      <w:pPr>
        <w:pStyle w:val="ListParagraph"/>
        <w:numPr>
          <w:ilvl w:val="0"/>
          <w:numId w:val="2"/>
        </w:numPr>
        <w:spacing w:after="60" w:line="290"/>
      </w:pPr>
      <w:r>
        <w:rPr>
          <w:rFonts w:ascii="Calibri" w:cs="Calibri" w:eastAsia="Calibri" w:hAnsi="Calibri"/>
          <w:sz w:val="22"/>
          <w:szCs w:val="22"/>
        </w:rPr>
        <w:t xml:space="preserve">Provide Baseline and Meltdown as two presets — Baseline targets 'zero drawdown beyond RRIF minimum'; Meltdown targets 'fill 20.5% bracket until RRIF ≤ $50K.'</w:t>
      </w:r>
    </w:p>
    <w:p>
      <w:pPr>
        <w:pStyle w:val="Heading2"/>
        <w:spacing w:after="120" w:before="260"/>
      </w:pPr>
      <w:r>
        <w:rPr>
          <w:rFonts w:ascii="Calibri" w:cs="Calibri" w:eastAsia="Calibri" w:hAnsi="Calibri"/>
          <w:b/>
          <w:bCs/>
          <w:color w:val="0F2744"/>
          <w:sz w:val="26"/>
          <w:szCs w:val="26"/>
        </w:rPr>
        <w:t xml:space="preserve">3.2 LIF is ignored by the meltdown</w:t>
      </w:r>
    </w:p>
    <w:p>
      <w:pPr>
        <w:spacing w:after="120" w:line="300"/>
      </w:pPr>
      <w:r>
        <w:rPr>
          <w:rFonts w:ascii="Calibri" w:cs="Calibri" w:eastAsia="Calibri" w:hAnsi="Calibri"/>
          <w:sz w:val="22"/>
          <w:szCs w:val="22"/>
        </w:rPr>
        <w:t xml:space="preserve">Location: lines 625–630.</w:t>
      </w:r>
    </w:p>
    <w:p>
      <w:pPr>
        <w:spacing w:after="120" w:line="300"/>
      </w:pPr>
      <w:r>
        <w:rPr>
          <w:rFonts w:ascii="Calibri" w:cs="Calibri" w:eastAsia="Calibri" w:hAnsi="Calibri"/>
          <w:sz w:val="22"/>
          <w:szCs w:val="22"/>
        </w:rPr>
        <w:t xml:space="preserve">The meltdown branch only increases rrif_draw_f (from Frank's RRSP) — st.lif_f is drawn only at its minimum rate. Frank's $50,000 LIF has the same terminal-tax exposure as his RRSP at death and should be drawn down in parallel. Critically, Ontario LIF has a maximum withdrawal rate (≈ 1.3× RRIF minimum, with a cap of roughly 8–10% at typical ages); this is defined in the code (lif_max()) but never called.</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Extend the meltdown to draw from LIF up to lif_max(age). Sequence: minimum LIF, then minimum RRIF, then discretionary RRSP/RRIF draw to hit the taxable-income target, then discretionary LIF draw (capped at LIF max).</w:t>
      </w:r>
    </w:p>
    <w:p>
      <w:pPr>
        <w:pStyle w:val="ListParagraph"/>
        <w:numPr>
          <w:ilvl w:val="0"/>
          <w:numId w:val="2"/>
        </w:numPr>
        <w:spacing w:after="60" w:line="290"/>
      </w:pPr>
      <w:r>
        <w:rPr>
          <w:rFonts w:ascii="Calibri" w:cs="Calibri" w:eastAsia="Calibri" w:hAnsi="Calibri"/>
          <w:sz w:val="22"/>
          <w:szCs w:val="22"/>
        </w:rPr>
        <w:t xml:space="preserve">Document the Ontario one-time 50% LIF unlocking election that is already modelled at Moon's age 55 — expose the election year as a configurable input.</w:t>
      </w:r>
    </w:p>
    <w:p>
      <w:pPr>
        <w:pStyle w:val="Heading2"/>
        <w:spacing w:after="120" w:before="260"/>
      </w:pPr>
      <w:r>
        <w:rPr>
          <w:rFonts w:ascii="Calibri" w:cs="Calibri" w:eastAsia="Calibri" w:hAnsi="Calibri"/>
          <w:b/>
          <w:bCs/>
          <w:color w:val="0F2744"/>
          <w:sz w:val="26"/>
          <w:szCs w:val="26"/>
        </w:rPr>
        <w:t xml:space="preserve">3.3 RRSP→RRIF conversion is implicit at 65</w:t>
      </w:r>
    </w:p>
    <w:p>
      <w:pPr>
        <w:spacing w:after="120" w:line="300"/>
      </w:pPr>
      <w:r>
        <w:rPr>
          <w:rFonts w:ascii="Calibri" w:cs="Calibri" w:eastAsia="Calibri" w:hAnsi="Calibri"/>
          <w:sz w:val="22"/>
          <w:szCs w:val="22"/>
        </w:rPr>
        <w:t xml:space="preserve">The code applies RRIF minimums starting at age 65, implying RRSP→RRIF conversion at 65. CRA allows conversion as early as any age; mandatory by end of year 71. Converting earlier unlocks the $2,000 pension credit and 50% pension income splitting — both advantages if the planner wants to bring taxable income up to the 20.5% bracket. Converting later preserves optionality.</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Add a per-person rrif_conversion_age input (default 65; max 71).</w:t>
      </w:r>
    </w:p>
    <w:p>
      <w:pPr>
        <w:pStyle w:val="ListParagraph"/>
        <w:numPr>
          <w:ilvl w:val="0"/>
          <w:numId w:val="2"/>
        </w:numPr>
        <w:spacing w:after="60" w:line="290"/>
      </w:pPr>
      <w:r>
        <w:rPr>
          <w:rFonts w:ascii="Calibri" w:cs="Calibri" w:eastAsia="Calibri" w:hAnsi="Calibri"/>
          <w:sz w:val="22"/>
          <w:szCs w:val="22"/>
        </w:rPr>
        <w:t xml:space="preserve">Pension-credit / splitting eligibility should be tied to 'converted to RRIF' AND 'age ≥ 65' rather than simply age ≥ 65.</w:t>
      </w:r>
    </w:p>
    <w:p>
      <w:pPr>
        <w:pStyle w:val="Heading2"/>
        <w:spacing w:after="120" w:before="260"/>
      </w:pPr>
      <w:r>
        <w:rPr>
          <w:rFonts w:ascii="Calibri" w:cs="Calibri" w:eastAsia="Calibri" w:hAnsi="Calibri"/>
          <w:b/>
          <w:bCs/>
          <w:color w:val="0F2744"/>
          <w:sz w:val="26"/>
          <w:szCs w:val="26"/>
        </w:rPr>
        <w:t xml:space="preserve">3.4 No cash wedge / sequence-of-returns protection</w:t>
      </w:r>
    </w:p>
    <w:p>
      <w:pPr>
        <w:spacing w:after="120" w:line="300"/>
      </w:pPr>
      <w:r>
        <w:rPr>
          <w:rFonts w:ascii="Calibri" w:cs="Calibri" w:eastAsia="Calibri" w:hAnsi="Calibri"/>
          <w:sz w:val="22"/>
          <w:szCs w:val="22"/>
        </w:rPr>
        <w:t xml:space="preserve">Reference section 4.4 Strategy 3 (Parallel Wealth Cash Flow Wedge) recommends 2–3 years of cash/GICs. The dashboard applies a single blended return to all assets — fine for a deterministic projection but meaningless for stress testing. A 0% return scenario (the Net 0% tab) is a flat-line test, not a sequence test.</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Let each account have its own return rate (cash/FI/equity).</w:t>
      </w:r>
    </w:p>
    <w:p>
      <w:pPr>
        <w:pStyle w:val="ListParagraph"/>
        <w:numPr>
          <w:ilvl w:val="0"/>
          <w:numId w:val="2"/>
        </w:numPr>
        <w:spacing w:after="60" w:line="290"/>
      </w:pPr>
      <w:r>
        <w:rPr>
          <w:rFonts w:ascii="Calibri" w:cs="Calibri" w:eastAsia="Calibri" w:hAnsi="Calibri"/>
          <w:sz w:val="22"/>
          <w:szCs w:val="22"/>
        </w:rPr>
        <w:t xml:space="preserve">Reserve 2 years of spending in a 'cash wedge' account drawn before equities during a market-down year.</w:t>
      </w:r>
    </w:p>
    <w:p>
      <w:pPr>
        <w:pStyle w:val="ListParagraph"/>
        <w:numPr>
          <w:ilvl w:val="0"/>
          <w:numId w:val="2"/>
        </w:numPr>
        <w:spacing w:after="60" w:line="290"/>
      </w:pPr>
      <w:r>
        <w:rPr>
          <w:rFonts w:ascii="Calibri" w:cs="Calibri" w:eastAsia="Calibri" w:hAnsi="Calibri"/>
          <w:sz w:val="22"/>
          <w:szCs w:val="22"/>
        </w:rPr>
        <w:t xml:space="preserve">Add a sequence-of-returns stress test that applies the worst historical 5-year sequence (1929, 1973, 2000, 2008) to the first five years of retirement.</w:t>
      </w:r>
    </w:p>
    <w:p>
      <w:pPr>
        <w:pStyle w:val="Heading2"/>
        <w:spacing w:after="120" w:before="260"/>
      </w:pPr>
      <w:r>
        <w:rPr>
          <w:rFonts w:ascii="Calibri" w:cs="Calibri" w:eastAsia="Calibri" w:hAnsi="Calibri"/>
          <w:b/>
          <w:bCs/>
          <w:color w:val="0F2744"/>
          <w:sz w:val="26"/>
          <w:szCs w:val="26"/>
        </w:rPr>
        <w:t xml:space="preserve">3.5 TFSA draw ratio hard-coded at 70/30</w:t>
      </w:r>
    </w:p>
    <w:p>
      <w:pPr>
        <w:spacing w:after="120" w:line="300"/>
      </w:pPr>
      <w:r>
        <w:rPr>
          <w:rFonts w:ascii="Calibri" w:cs="Calibri" w:eastAsia="Calibri" w:hAnsi="Calibri"/>
          <w:sz w:val="22"/>
          <w:szCs w:val="22"/>
        </w:rPr>
        <w:t xml:space="preserve">Location: line 674. </w:t>
      </w:r>
      <w:r>
        <w:rPr>
          <w:rFonts w:ascii="Consolas" w:cs="Consolas" w:eastAsia="Consolas" w:hAnsi="Consolas"/>
          <w:sz w:val="20"/>
          <w:szCs w:val="20"/>
        </w:rPr>
        <w:t xml:space="preserve">tfsa_draw_f = Math.min(st.tfsa_f, gap*0.7);</w:t>
      </w:r>
    </w:p>
    <w:p>
      <w:pPr>
        <w:spacing w:after="120" w:line="300"/>
      </w:pPr>
      <w:r>
        <w:rPr>
          <w:rFonts w:ascii="Calibri" w:cs="Calibri" w:eastAsia="Calibri" w:hAnsi="Calibri"/>
          <w:sz w:val="22"/>
          <w:szCs w:val="22"/>
        </w:rPr>
        <w:t xml:space="preserve">This ratio is arbitrary and doesn't reflect any tax or contribution-room logic. A better rule: draw from whichever spouse has higher income-tax marginal rate first (to make TFSA more valuable to the higher-taxed spouse — indirectly by freeing her registered-draw capacity), and track contribution room.</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Change to: draw TFSA from the spouse with the higher marginal tax rate first, OR simply pro-rata by TFSA balance. The 70/30 hard-code is a code smell.</w:t>
      </w:r>
    </w:p>
    <w:p>
      <w:pPr>
        <w:pStyle w:val="Heading1"/>
        <w:spacing w:after="160" w:before="320"/>
      </w:pPr>
      <w:r>
        <w:rPr>
          <w:rFonts w:ascii="Calibri" w:cs="Calibri" w:eastAsia="Calibri" w:hAnsi="Calibri"/>
          <w:b/>
          <w:bCs/>
          <w:color w:val="0F2744"/>
          <w:sz w:val="30"/>
          <w:szCs w:val="30"/>
        </w:rPr>
        <w:t xml:space="preserve">4. Indexation, Inflation and Assumption Inputs</w:t>
      </w:r>
    </w:p>
    <w:p>
      <w:pPr>
        <w:spacing w:after="120" w:line="300"/>
      </w:pPr>
      <w:r>
        <w:rPr>
          <w:rFonts w:ascii="Calibri" w:cs="Calibri" w:eastAsia="Calibri" w:hAnsi="Calibri"/>
          <w:sz w:val="22"/>
          <w:szCs w:val="22"/>
        </w:rPr>
        <w:t xml:space="preserve">The dashboard hard-codes three different indexation factors that never talk to each other:</w:t>
      </w:r>
    </w:p>
    <w:p>
      <w:pPr>
        <w:pStyle w:val="ListParagraph"/>
        <w:numPr>
          <w:ilvl w:val="0"/>
          <w:numId w:val="2"/>
        </w:numPr>
        <w:spacing w:after="60" w:line="290"/>
      </w:pPr>
      <w:r>
        <w:rPr>
          <w:rFonts w:ascii="Calibri" w:cs="Calibri" w:eastAsia="Calibri" w:hAnsi="Calibri"/>
          <w:sz w:val="22"/>
          <w:szCs w:val="22"/>
        </w:rPr>
        <w:t xml:space="preserve">Inflation (D.assumptions.inflation, default 2.5%) is used only for spending phases (calcSpending).</w:t>
      </w:r>
    </w:p>
    <w:p>
      <w:pPr>
        <w:pStyle w:val="ListParagraph"/>
        <w:numPr>
          <w:ilvl w:val="0"/>
          <w:numId w:val="2"/>
        </w:numPr>
        <w:spacing w:after="60" w:line="290"/>
      </w:pPr>
      <w:r>
        <w:rPr>
          <w:rFonts w:ascii="Calibri" w:cs="Calibri" w:eastAsia="Calibri" w:hAnsi="Calibri"/>
          <w:sz w:val="22"/>
          <w:szCs w:val="22"/>
        </w:rPr>
        <w:t xml:space="preserve">CPP indexation: hard-coded 1.02 (2.0%) in calcCPP_Frank/Moon.</w:t>
      </w:r>
    </w:p>
    <w:p>
      <w:pPr>
        <w:pStyle w:val="ListParagraph"/>
        <w:numPr>
          <w:ilvl w:val="0"/>
          <w:numId w:val="2"/>
        </w:numPr>
        <w:spacing w:after="60" w:line="290"/>
      </w:pPr>
      <w:r>
        <w:rPr>
          <w:rFonts w:ascii="Calibri" w:cs="Calibri" w:eastAsia="Calibri" w:hAnsi="Calibri"/>
          <w:sz w:val="22"/>
          <w:szCs w:val="22"/>
        </w:rPr>
        <w:t xml:space="preserve">OAS indexation: hard-coded 1.025 (2.5%) in calcOAS_Frank/Moon.</w:t>
      </w:r>
    </w:p>
    <w:p>
      <w:pPr>
        <w:pStyle w:val="ListParagraph"/>
        <w:numPr>
          <w:ilvl w:val="0"/>
          <w:numId w:val="2"/>
        </w:numPr>
        <w:spacing w:after="60" w:line="290"/>
      </w:pPr>
      <w:r>
        <w:rPr>
          <w:rFonts w:ascii="Calibri" w:cs="Calibri" w:eastAsia="Calibri" w:hAnsi="Calibri"/>
          <w:sz w:val="22"/>
          <w:szCs w:val="22"/>
        </w:rPr>
        <w:t xml:space="preserve">Tax brackets, BPA, Age Amount: hard-coded 1.025 (2.5%) in calcTax().</w:t>
      </w:r>
    </w:p>
    <w:p>
      <w:pPr>
        <w:pStyle w:val="ListParagraph"/>
        <w:numPr>
          <w:ilvl w:val="0"/>
          <w:numId w:val="2"/>
        </w:numPr>
        <w:spacing w:after="60" w:line="290"/>
      </w:pPr>
      <w:r>
        <w:rPr>
          <w:rFonts w:ascii="Calibri" w:cs="Calibri" w:eastAsia="Calibri" w:hAnsi="Calibri"/>
          <w:sz w:val="22"/>
          <w:szCs w:val="22"/>
        </w:rPr>
        <w:t xml:space="preserve">OAS clawback threshold: hard-coded 1.025 (2.5%) in oasClawback().</w:t>
      </w:r>
    </w:p>
    <w:p>
      <w:pPr>
        <w:pStyle w:val="ListParagraph"/>
        <w:numPr>
          <w:ilvl w:val="0"/>
          <w:numId w:val="2"/>
        </w:numPr>
        <w:spacing w:after="60" w:line="290"/>
      </w:pPr>
      <w:r>
        <w:rPr>
          <w:rFonts w:ascii="Calibri" w:cs="Calibri" w:eastAsia="Calibri" w:hAnsi="Calibri"/>
          <w:sz w:val="22"/>
          <w:szCs w:val="22"/>
        </w:rPr>
        <w:t xml:space="preserve">DB pension: uses D.frank.db_index (good — already per-plan).</w:t>
      </w:r>
    </w:p>
    <w:p>
      <w:pPr>
        <w:pBdr>
          <w:left w:val="single" w:color="B87800" w:sz="20" w:space="6"/>
        </w:pBdr>
        <w:shd w:fill="FFF8E8" w:val="clear"/>
        <w:spacing w:after="140" w:before="80" w:line="280"/>
        <w:ind w:left="200"/>
      </w:pPr>
      <w:r>
        <w:rPr>
          <w:rFonts w:ascii="Calibri" w:cs="Calibri" w:eastAsia="Calibri" w:hAnsi="Calibri"/>
          <w:b/>
          <w:bCs/>
          <w:color w:val="B87800"/>
          <w:sz w:val="22"/>
          <w:szCs w:val="22"/>
        </w:rPr>
        <w:t xml:space="preserve">Consequence: </w:t>
      </w:r>
      <w:r>
        <w:rPr>
          <w:rFonts w:ascii="Calibri" w:cs="Calibri" w:eastAsia="Calibri" w:hAnsi="Calibri"/>
          <w:sz w:val="22"/>
          <w:szCs w:val="22"/>
        </w:rPr>
        <w:t xml:space="preserve">If a user moves the inflation slider to 3.5% to stress-test, spending inflates at 3.5% but CPP/OAS/tax brackets stay at 2.0–2.5%. The 'real' purchasing power of benefits erodes artificially, exaggerating shortfall risk.</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Introduce D.assumptions.cpiIndex (CPI — used for OAS, OAS clawback, spending).</w:t>
      </w:r>
    </w:p>
    <w:p>
      <w:pPr>
        <w:pStyle w:val="ListParagraph"/>
        <w:numPr>
          <w:ilvl w:val="0"/>
          <w:numId w:val="2"/>
        </w:numPr>
        <w:spacing w:after="60" w:line="290"/>
      </w:pPr>
      <w:r>
        <w:rPr>
          <w:rFonts w:ascii="Calibri" w:cs="Calibri" w:eastAsia="Calibri" w:hAnsi="Calibri"/>
          <w:sz w:val="22"/>
          <w:szCs w:val="22"/>
        </w:rPr>
        <w:t xml:space="preserve">Introduce D.assumptions.cppIndex (CPP — follows CPI but can be decoupled).</w:t>
      </w:r>
    </w:p>
    <w:p>
      <w:pPr>
        <w:pStyle w:val="ListParagraph"/>
        <w:numPr>
          <w:ilvl w:val="0"/>
          <w:numId w:val="2"/>
        </w:numPr>
        <w:spacing w:after="60" w:line="290"/>
      </w:pPr>
      <w:r>
        <w:rPr>
          <w:rFonts w:ascii="Calibri" w:cs="Calibri" w:eastAsia="Calibri" w:hAnsi="Calibri"/>
          <w:sz w:val="22"/>
          <w:szCs w:val="22"/>
        </w:rPr>
        <w:t xml:space="preserve">Introduce D.assumptions.fedTaxIndex and onTaxIndex (tax-bracket indexation — typically CPI-capped but distinct per government).</w:t>
      </w:r>
    </w:p>
    <w:p>
      <w:pPr>
        <w:pStyle w:val="ListParagraph"/>
        <w:numPr>
          <w:ilvl w:val="0"/>
          <w:numId w:val="2"/>
        </w:numPr>
        <w:spacing w:after="60" w:line="290"/>
      </w:pPr>
      <w:r>
        <w:rPr>
          <w:rFonts w:ascii="Calibri" w:cs="Calibri" w:eastAsia="Calibri" w:hAnsi="Calibri"/>
          <w:sz w:val="22"/>
          <w:szCs w:val="22"/>
        </w:rPr>
        <w:t xml:space="preserve">Default all four to follow D.assumptions.cpiIndex; expose overrides on the Assumptions page.</w:t>
      </w:r>
    </w:p>
    <w:p>
      <w:pPr>
        <w:pStyle w:val="Heading1"/>
        <w:spacing w:after="160" w:before="320"/>
      </w:pPr>
      <w:r>
        <w:rPr>
          <w:rFonts w:ascii="Calibri" w:cs="Calibri" w:eastAsia="Calibri" w:hAnsi="Calibri"/>
          <w:b/>
          <w:bCs/>
          <w:color w:val="0F2744"/>
          <w:sz w:val="30"/>
          <w:szCs w:val="30"/>
        </w:rPr>
        <w:t xml:space="preserve">5. Real vs. Nominal Display</w:t>
      </w:r>
    </w:p>
    <w:p>
      <w:pPr>
        <w:spacing w:after="120" w:line="300"/>
      </w:pPr>
      <w:r>
        <w:rPr>
          <w:rFonts w:ascii="Calibri" w:cs="Calibri" w:eastAsia="Calibri" w:hAnsi="Calibri"/>
          <w:sz w:val="22"/>
          <w:szCs w:val="22"/>
        </w:rPr>
        <w:t xml:space="preserve">The dashboard header reads: "All figures in today's dollars (nominal)." Those two phrases are contradictory — 'today's dollars' means real (inflation-adjusted), while 'nominal' means the raw year-by-year projected dollars including inflation. The code actually produces nominal dollars.</w:t>
      </w:r>
    </w:p>
    <w:p>
      <w:pPr>
        <w:spacing w:after="120" w:line="300"/>
      </w:pPr>
      <w:r>
        <w:rPr>
          <w:rFonts w:ascii="Calibri" w:cs="Calibri" w:eastAsia="Calibri" w:hAnsi="Calibri"/>
          <w:sz w:val="22"/>
          <w:szCs w:val="22"/>
        </w:rPr>
        <w:t xml:space="preserve">Clients almost always want to see real dollars when judging sustainability ("will I still have $60K/yr of spending power at 85?") and nominal dollars when reconciling against a future tax return. Professional tools (Snap, Naviplan, RazorPlan) let the viewer toggle between the two. The current dashboard lets them see neither correctly because the header tells them one thing while the numbers show the other.</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Add a Real/Nominal toggle above the KPI row.</w:t>
      </w:r>
    </w:p>
    <w:p>
      <w:pPr>
        <w:pStyle w:val="ListParagraph"/>
        <w:numPr>
          <w:ilvl w:val="0"/>
          <w:numId w:val="2"/>
        </w:numPr>
        <w:spacing w:after="60" w:line="290"/>
      </w:pPr>
      <w:r>
        <w:rPr>
          <w:rFonts w:ascii="Calibri" w:cs="Calibri" w:eastAsia="Calibri" w:hAnsi="Calibri"/>
          <w:sz w:val="22"/>
          <w:szCs w:val="22"/>
        </w:rPr>
        <w:t xml:space="preserve">For Real: divide every nominal figure by (1 + cpiIndex)^(year − planStartYear). Spending targets entered in 2026 dollars stay flat in the Real view, which is exactly what the 'consistent real net income' requirement demands.</w:t>
      </w:r>
    </w:p>
    <w:p>
      <w:pPr>
        <w:pStyle w:val="ListParagraph"/>
        <w:numPr>
          <w:ilvl w:val="0"/>
          <w:numId w:val="2"/>
        </w:numPr>
        <w:spacing w:after="60" w:line="290"/>
      </w:pPr>
      <w:r>
        <w:rPr>
          <w:rFonts w:ascii="Calibri" w:cs="Calibri" w:eastAsia="Calibri" w:hAnsi="Calibri"/>
          <w:sz w:val="22"/>
          <w:szCs w:val="22"/>
        </w:rPr>
        <w:t xml:space="preserve">Make 'real' the default view for sustainability metrics; keep 'nominal' for year-by-year tax calculations.</w:t>
      </w:r>
    </w:p>
    <w:p>
      <w:pPr>
        <w:pStyle w:val="Heading1"/>
        <w:spacing w:after="160" w:before="320"/>
      </w:pPr>
      <w:r>
        <w:rPr>
          <w:rFonts w:ascii="Calibri" w:cs="Calibri" w:eastAsia="Calibri" w:hAnsi="Calibri"/>
          <w:b/>
          <w:bCs/>
          <w:color w:val="0F2744"/>
          <w:sz w:val="30"/>
          <w:szCs w:val="30"/>
        </w:rPr>
        <w:t xml:space="preserve">6. UI and Usability Issues</w:t>
      </w:r>
    </w:p>
    <w:p>
      <w:pPr>
        <w:pStyle w:val="Heading2"/>
        <w:spacing w:after="120" w:before="260"/>
      </w:pPr>
      <w:r>
        <w:rPr>
          <w:rFonts w:ascii="Calibri" w:cs="Calibri" w:eastAsia="Calibri" w:hAnsi="Calibri"/>
          <w:b/>
          <w:bCs/>
          <w:color w:val="0F2744"/>
          <w:sz w:val="26"/>
          <w:szCs w:val="26"/>
        </w:rPr>
        <w:t xml:space="preserve">6.1 Max Spend tab never activates</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setScenario()</w:t>
      </w:r>
      <w:r>
        <w:rPr>
          <w:rFonts w:ascii="Calibri" w:cs="Calibri" w:eastAsia="Calibri" w:hAnsi="Calibri"/>
          <w:sz w:val="22"/>
          <w:szCs w:val="22"/>
        </w:rPr>
        <w:t xml:space="preserve"> line 862.</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const keys=['base','melt','zero','surv'];  // missing 'maxs'</w:t>
      </w:r>
    </w:p>
    <w:p>
      <w:pPr>
        <w:spacing w:after="120" w:line="300"/>
      </w:pPr>
      <w:r>
        <w:rPr>
          <w:rFonts w:ascii="Calibri" w:cs="Calibri" w:eastAsia="Calibri" w:hAnsi="Calibri"/>
          <w:sz w:val="22"/>
          <w:szCs w:val="22"/>
        </w:rPr>
        <w:t xml:space="preserve">Five scenario buttons are rendered but only four keys are listed. Clicking the Max Spend tab fires setScenario('maxs'), but the .active class is never assigned to the 5th button because keys[4] is undefined. Visually the tab looks dead.</w:t>
      </w:r>
    </w:p>
    <w:p>
      <w:pPr>
        <w:pStyle w:val="Heading4"/>
        <w:spacing w:after="60" w:before="180"/>
      </w:pPr>
      <w:r>
        <w:rPr>
          <w:rFonts w:ascii="Calibri" w:cs="Calibri" w:eastAsia="Calibri" w:hAnsi="Calibri"/>
          <w:b/>
          <w:bCs/>
          <w:color w:val="1A3A5C"/>
          <w:sz w:val="20"/>
          <w:szCs w:val="20"/>
        </w:rPr>
        <w:t xml:space="preserve">Fix</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const keys=['base','melt','zero','surv','maxs'];</w:t>
      </w:r>
    </w:p>
    <w:p>
      <w:pPr>
        <w:pStyle w:val="Heading2"/>
        <w:spacing w:after="120" w:before="260"/>
      </w:pPr>
      <w:r>
        <w:rPr>
          <w:rFonts w:ascii="Calibri" w:cs="Calibri" w:eastAsia="Calibri" w:hAnsi="Calibri"/>
          <w:b/>
          <w:bCs/>
          <w:color w:val="0F2744"/>
          <w:sz w:val="26"/>
          <w:szCs w:val="26"/>
        </w:rPr>
        <w:t xml:space="preserve">6.2 Plan start year is hard-coded to 2027</w:t>
      </w:r>
    </w:p>
    <w:p>
      <w:pPr>
        <w:spacing w:after="120" w:line="300"/>
      </w:pPr>
      <w:r>
        <w:rPr>
          <w:rFonts w:ascii="Calibri" w:cs="Calibri" w:eastAsia="Calibri" w:hAnsi="Calibri"/>
          <w:sz w:val="22"/>
          <w:szCs w:val="22"/>
        </w:rPr>
        <w:t xml:space="preserve">Location: line 542. </w:t>
      </w:r>
      <w:r>
        <w:rPr>
          <w:rFonts w:ascii="Consolas" w:cs="Consolas" w:eastAsia="Consolas" w:hAnsi="Consolas"/>
          <w:sz w:val="20"/>
          <w:szCs w:val="20"/>
        </w:rPr>
        <w:t xml:space="preserve">const START = 2027</w:t>
      </w:r>
    </w:p>
    <w:p>
      <w:pPr>
        <w:spacing w:after="120" w:line="300"/>
      </w:pPr>
      <w:r>
        <w:rPr>
          <w:rFonts w:ascii="Calibri" w:cs="Calibri" w:eastAsia="Calibri" w:hAnsi="Calibri"/>
          <w:sz w:val="22"/>
          <w:szCs w:val="22"/>
        </w:rPr>
        <w:t xml:space="preserve">Regardless of what D.assumptions.retireYear is set to, the simulation loop starts at 2027. If a user with an earlier (or later) retirement year fills out the intake form, the projection silently misaligns.</w:t>
      </w:r>
    </w:p>
    <w:p>
      <w:pPr>
        <w:pStyle w:val="Heading4"/>
        <w:spacing w:after="60" w:before="180"/>
      </w:pPr>
      <w:r>
        <w:rPr>
          <w:rFonts w:ascii="Calibri" w:cs="Calibri" w:eastAsia="Calibri" w:hAnsi="Calibri"/>
          <w:b/>
          <w:bCs/>
          <w:color w:val="1A3A5C"/>
          <w:sz w:val="20"/>
          <w:szCs w:val="20"/>
        </w:rPr>
        <w:t xml:space="preserve">Fix</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const START = Math.min(D.frank.retireYear, D.moon.retireYear);</w:t>
      </w:r>
    </w:p>
    <w:p>
      <w:pPr>
        <w:pStyle w:val="Heading2"/>
        <w:spacing w:after="120" w:before="260"/>
      </w:pPr>
      <w:r>
        <w:rPr>
          <w:rFonts w:ascii="Calibri" w:cs="Calibri" w:eastAsia="Calibri" w:hAnsi="Calibri"/>
          <w:b/>
          <w:bCs/>
          <w:color w:val="0F2744"/>
          <w:sz w:val="26"/>
          <w:szCs w:val="26"/>
        </w:rPr>
        <w:t xml:space="preserve">6.3 LIRA→LIF conversion only fires at exactly age 55</w:t>
      </w:r>
    </w:p>
    <w:p>
      <w:pPr>
        <w:spacing w:after="120" w:line="300"/>
      </w:pPr>
      <w:r>
        <w:rPr>
          <w:rFonts w:ascii="Calibri" w:cs="Calibri" w:eastAsia="Calibri" w:hAnsi="Calibri"/>
          <w:sz w:val="22"/>
          <w:szCs w:val="22"/>
        </w:rPr>
        <w:t xml:space="preserve">Location: line 595.</w:t>
      </w:r>
    </w:p>
    <w:p>
      <w:pPr>
        <w:spacing w:after="120" w:line="300"/>
      </w:pPr>
      <w:r>
        <w:rPr>
          <w:rFonts w:ascii="Calibri" w:cs="Calibri" w:eastAsia="Calibri" w:hAnsi="Calibri"/>
          <w:sz w:val="22"/>
          <w:szCs w:val="22"/>
        </w:rPr>
        <w:t xml:space="preserve">The condition 'if (ageM === 55 &amp;&amp; st.lira_m &gt; 0)' means that if Moon is already older than 55 at plan start, the LIRA stays locked forever. A more reasonable default is to convert at start of the plan, or at the earlier of 'user-specified LIF conversion age' and 'plan end − 1 year'.</w:t>
      </w:r>
    </w:p>
    <w:p>
      <w:pPr>
        <w:pStyle w:val="Heading4"/>
        <w:spacing w:after="60" w:before="180"/>
      </w:pPr>
      <w:r>
        <w:rPr>
          <w:rFonts w:ascii="Calibri" w:cs="Calibri" w:eastAsia="Calibri" w:hAnsi="Calibri"/>
          <w:b/>
          <w:bCs/>
          <w:color w:val="1A3A5C"/>
          <w:sz w:val="20"/>
          <w:szCs w:val="20"/>
        </w:rPr>
        <w:t xml:space="preserve">Fix</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if (ageM &gt;= person.lifConversionAge &amp;&amp; st.lira_m &gt; 0) {
  // do conversion in the first year that eligibility is met
}</w:t>
      </w:r>
    </w:p>
    <w:p>
      <w:pPr>
        <w:pStyle w:val="Heading2"/>
        <w:spacing w:after="120" w:before="260"/>
      </w:pPr>
      <w:r>
        <w:rPr>
          <w:rFonts w:ascii="Calibri" w:cs="Calibri" w:eastAsia="Calibri" w:hAnsi="Calibri"/>
          <w:b/>
          <w:bCs/>
          <w:color w:val="0F2744"/>
          <w:sz w:val="26"/>
          <w:szCs w:val="26"/>
        </w:rPr>
        <w:t xml:space="preserve">6.4 Mortgage payoff-year overstates cash outflow</w:t>
      </w:r>
    </w:p>
    <w:p>
      <w:pPr>
        <w:spacing w:after="120" w:line="300"/>
      </w:pPr>
      <w:r>
        <w:rPr>
          <w:rFonts w:ascii="Calibri" w:cs="Calibri" w:eastAsia="Calibri" w:hAnsi="Calibri"/>
          <w:sz w:val="22"/>
          <w:szCs w:val="22"/>
        </w:rPr>
        <w:t xml:space="preserve">Location: </w:t>
      </w:r>
      <w:r>
        <w:rPr>
          <w:rFonts w:ascii="Consolas" w:cs="Consolas" w:eastAsia="Consolas" w:hAnsi="Consolas"/>
          <w:sz w:val="20"/>
          <w:szCs w:val="20"/>
        </w:rPr>
        <w:t xml:space="preserve">calcMortgage()</w:t>
      </w:r>
      <w:r>
        <w:rPr>
          <w:rFonts w:ascii="Calibri" w:cs="Calibri" w:eastAsia="Calibri" w:hAnsi="Calibri"/>
          <w:sz w:val="22"/>
          <w:szCs w:val="22"/>
        </w:rPr>
        <w:t xml:space="preserve"> line 505.</w:t>
      </w:r>
    </w:p>
    <w:p>
      <w:pPr>
        <w:spacing w:after="120" w:line="300"/>
      </w:pPr>
      <w:r>
        <w:rPr>
          <w:rFonts w:ascii="Calibri" w:cs="Calibri" w:eastAsia="Calibri" w:hAnsi="Calibri"/>
          <w:sz w:val="22"/>
          <w:szCs w:val="22"/>
        </w:rPr>
        <w:t xml:space="preserve">In the payoff year, interest + principal sum to less than 12 × $1,400, but the function returns payment = D.mortgage.monthly × 12. The mismatch shows up as ~$8K of phantom spending in that single year. Over a 38-year projection it's small, but the shortfall check (threshold $500) can false-positive.</w:t>
      </w:r>
    </w:p>
    <w:p>
      <w:pPr>
        <w:pStyle w:val="Heading4"/>
        <w:spacing w:after="60" w:before="180"/>
      </w:pPr>
      <w:r>
        <w:rPr>
          <w:rFonts w:ascii="Calibri" w:cs="Calibri" w:eastAsia="Calibri" w:hAnsi="Calibri"/>
          <w:b/>
          <w:bCs/>
          <w:color w:val="1A3A5C"/>
          <w:sz w:val="20"/>
          <w:szCs w:val="20"/>
        </w:rPr>
        <w:t xml:space="preserve">Fix</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return { payment: annualInterest + annualPrincipal, interest: annualInterest, principal: annualPrincipal, newBalance: bal };</w:t>
      </w:r>
    </w:p>
    <w:p>
      <w:pPr>
        <w:pStyle w:val="Heading2"/>
        <w:spacing w:after="120" w:before="260"/>
      </w:pPr>
      <w:r>
        <w:rPr>
          <w:rFonts w:ascii="Calibri" w:cs="Calibri" w:eastAsia="Calibri" w:hAnsi="Calibri"/>
          <w:b/>
          <w:bCs/>
          <w:color w:val="0F2744"/>
          <w:sz w:val="26"/>
          <w:szCs w:val="26"/>
        </w:rPr>
        <w:t xml:space="preserve">6.5 LOC is wiped magically</w:t>
      </w:r>
    </w:p>
    <w:p>
      <w:pPr>
        <w:spacing w:after="120" w:line="300"/>
      </w:pPr>
      <w:r>
        <w:rPr>
          <w:rFonts w:ascii="Calibri" w:cs="Calibri" w:eastAsia="Calibri" w:hAnsi="Calibri"/>
          <w:sz w:val="22"/>
          <w:szCs w:val="22"/>
        </w:rPr>
        <w:t xml:space="preserve">Location: line 728.</w:t>
      </w:r>
    </w:p>
    <w:p>
      <w:pPr>
        <w:spacing w:after="120" w:line="300"/>
      </w:pPr>
      <w:r>
        <w:rPr>
          <w:rFonts w:ascii="Calibri" w:cs="Calibri" w:eastAsia="Calibri" w:hAnsi="Calibri"/>
          <w:sz w:val="22"/>
          <w:szCs w:val="22"/>
        </w:rPr>
        <w:t xml:space="preserve">The line-of-credit is ramped down by 30% for two years then set to zero. Interest is never charged; the paydown isn't a spending line item. For a client with a $10K LOC at 7%, this is immaterial (~$700/yr); for a client with a $100K HELOC, it's material.</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Treat the LOC like a minor mortgage: fixed minimum monthly payment, interest accrual, principal reduction.</w:t>
      </w:r>
    </w:p>
    <w:p>
      <w:pPr>
        <w:pStyle w:val="ListParagraph"/>
        <w:numPr>
          <w:ilvl w:val="0"/>
          <w:numId w:val="2"/>
        </w:numPr>
        <w:spacing w:after="60" w:line="290"/>
      </w:pPr>
      <w:r>
        <w:rPr>
          <w:rFonts w:ascii="Calibri" w:cs="Calibri" w:eastAsia="Calibri" w:hAnsi="Calibri"/>
          <w:sz w:val="22"/>
          <w:szCs w:val="22"/>
        </w:rPr>
        <w:t xml:space="preserve">Add LOC interest to mortgage/debt servicing in the spending total.</w:t>
      </w:r>
    </w:p>
    <w:p>
      <w:pPr>
        <w:pStyle w:val="Heading2"/>
        <w:spacing w:after="120" w:before="260"/>
      </w:pPr>
      <w:r>
        <w:rPr>
          <w:rFonts w:ascii="Calibri" w:cs="Calibri" w:eastAsia="Calibri" w:hAnsi="Calibri"/>
          <w:b/>
          <w:bCs/>
          <w:color w:val="0F2744"/>
          <w:sz w:val="26"/>
          <w:szCs w:val="26"/>
        </w:rPr>
        <w:t xml:space="preserve">6.6 Sustainability flag conflates portfolio depletion with shortfall</w:t>
      </w:r>
    </w:p>
    <w:p>
      <w:pPr>
        <w:spacing w:after="120" w:line="300"/>
      </w:pPr>
      <w:r>
        <w:rPr>
          <w:rFonts w:ascii="Calibri" w:cs="Calibri" w:eastAsia="Calibri" w:hAnsi="Calibri"/>
          <w:sz w:val="22"/>
          <w:szCs w:val="22"/>
        </w:rPr>
        <w:t xml:space="preserve">Location: line 734.</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if((shortfall &gt; 500 || totalPortfolio &lt; 10000) &amp;&amp; planSustainable){ ... }</w:t>
      </w:r>
    </w:p>
    <w:p>
      <w:pPr>
        <w:spacing w:after="120" w:line="300"/>
      </w:pPr>
      <w:r>
        <w:rPr>
          <w:rFonts w:ascii="Calibri" w:cs="Calibri" w:eastAsia="Calibri" w:hAnsi="Calibri"/>
          <w:sz w:val="22"/>
          <w:szCs w:val="22"/>
        </w:rPr>
        <w:t xml:space="preserve">A plan where the portfolio reaches $0 at age 90 but spending is still fully met by CPP + OAS + DB is 'sustainable' in the lifestyle sense. The current code flags it as unsustainable. This misrepresents the Max Spend scenario — its entire premise is that the portfolio trends to zero by design.</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Separate two KPIs: 'First shortfall year' (flags lifestyle failure) and 'Portfolio depletion year' (informational).</w:t>
      </w:r>
    </w:p>
    <w:p>
      <w:pPr>
        <w:pStyle w:val="Heading1"/>
        <w:spacing w:after="160" w:before="320"/>
      </w:pPr>
      <w:r>
        <w:rPr>
          <w:rFonts w:ascii="Calibri" w:cs="Calibri" w:eastAsia="Calibri" w:hAnsi="Calibri"/>
          <w:b/>
          <w:bCs/>
          <w:color w:val="0F2744"/>
          <w:sz w:val="30"/>
          <w:szCs w:val="30"/>
        </w:rPr>
        <w:t xml:space="preserve">7. Capability Gaps vs. Snap Projections / Parallel Wealth</w:t>
      </w:r>
    </w:p>
    <w:p>
      <w:pPr>
        <w:pStyle w:val="Heading2"/>
        <w:spacing w:after="120" w:before="260"/>
      </w:pPr>
      <w:r>
        <w:rPr>
          <w:rFonts w:ascii="Calibri" w:cs="Calibri" w:eastAsia="Calibri" w:hAnsi="Calibri"/>
          <w:b/>
          <w:bCs/>
          <w:color w:val="0F2744"/>
          <w:sz w:val="26"/>
          <w:szCs w:val="26"/>
        </w:rPr>
        <w:t xml:space="preserve">7.1 Missing features (commonly used by Canadian planners)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280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Standard in Snap / Naviplan / RazorPlan</w:t>
            </w:r>
          </w:p>
        </w:tc>
        <w:tc>
          <w:tcPr>
            <w:tcW w:type="dxa" w:w="3760"/>
            <w:tcBorders>
              <w:top w:val="single" w:color="CCCCCC" w:sz="4"/>
              <w:left w:val="single" w:color="CCCCCC" w:sz="4"/>
              <w:bottom w:val="single" w:color="CCCCCC" w:sz="4"/>
              <w:right w:val="single" w:color="CCCCCC" w:sz="4"/>
            </w:tcBorders>
            <w:shd w:fill="1A3A5C"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 in dashboard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Taxable-income targeting</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Per-year target; engine sizes withdrawals to hit it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implemented — flat nominal meltdown draw</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CFM withdrawal-order override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Per-year (N→T→R or R→T→N)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Hard-coded: RRIF min, then gap → 70/30 TFSA, then non-reg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Cash wedge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2–3 years of cash/GIC shielded from equity draws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Monte Carlo / sequence-of-returns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Historical or randomised sequences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Single Net 0% scenario only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Younger-spouse RRIF election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Reduces RRIF minimums to younger spouse's rate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implemented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Spousal RRSP attribution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3-year attribution rule on withdrawals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CPP sharing (not splitting)</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50% redistribution via CRA form</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FHSA &amp; RESP</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Both supported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Corporate account integration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Separate add-on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applicable for this file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Ontario Health Premium</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$0–$900 on income &gt; $20K</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Real-dollar display toggle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Toggle between real and nominal</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Header mislabelled; no toggle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Principal residence / downsizing</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Event-based sale with net proceeds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One-off expenses / bequests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Year-specific line items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Insurance analysis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Life, CI, LTC modelled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Rental / investment property</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Gross income, expenses, equity</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GIS for low-income scenarios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Means-tested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Terminal tax / estate calculation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RRIF fully included at death</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1E2A38"/>
                <w:sz w:val="20"/>
                <w:szCs w:val="20"/>
              </w:rPr>
              <w:t xml:space="preserve">Not modelled (Survivor only)</w:t>
            </w:r>
          </w:p>
        </w:tc>
      </w:tr>
    </w:tbl>
    <w:p>
      <w:pPr>
        <w:pStyle w:val="Heading2"/>
        <w:spacing w:after="120" w:before="260"/>
      </w:pPr>
      <w:r>
        <w:rPr>
          <w:rFonts w:ascii="Calibri" w:cs="Calibri" w:eastAsia="Calibri" w:hAnsi="Calibri"/>
          <w:b/>
          <w:bCs/>
          <w:color w:val="0F2744"/>
          <w:sz w:val="26"/>
          <w:szCs w:val="26"/>
        </w:rPr>
        <w:t xml:space="preserve">7.2 Parallel Wealth 'three-phase' spending drops are abrupt</w:t>
      </w:r>
    </w:p>
    <w:p>
      <w:pPr>
        <w:spacing w:after="120" w:line="300"/>
      </w:pPr>
      <w:r>
        <w:rPr>
          <w:rFonts w:ascii="Calibri" w:cs="Calibri" w:eastAsia="Calibri" w:hAnsi="Calibri"/>
          <w:sz w:val="22"/>
          <w:szCs w:val="22"/>
        </w:rPr>
        <w:t xml:space="preserve">The laddered Go-Go / Slow-Go / No-Go pattern is modelled as a step function: spending drops from $75K to $65K overnight at Frank's 76th birthday, and again from $65K to $55K at 86. Real spending patterns smooth into the next phase over 2–3 years. Modeling as a step function will occasionally create a 'surplus' year where income exceeds spending by $10K — which the engine then deposits in the TFSA — but the client hasn't actually changed their behaviour.</w:t>
      </w:r>
    </w:p>
    <w:p>
      <w:pPr>
        <w:pStyle w:val="Heading4"/>
        <w:spacing w:after="60" w:before="180"/>
      </w:pPr>
      <w:r>
        <w:rPr>
          <w:rFonts w:ascii="Calibri" w:cs="Calibri" w:eastAsia="Calibri" w:hAnsi="Calibri"/>
          <w:b/>
          <w:bCs/>
          <w:color w:val="1A3A5C"/>
          <w:sz w:val="20"/>
          <w:szCs w:val="20"/>
        </w:rPr>
        <w:t xml:space="preserve">Fix</w:t>
      </w:r>
    </w:p>
    <w:p>
      <w:pPr>
        <w:pStyle w:val="ListParagraph"/>
        <w:numPr>
          <w:ilvl w:val="0"/>
          <w:numId w:val="2"/>
        </w:numPr>
        <w:spacing w:after="60" w:line="290"/>
      </w:pPr>
      <w:r>
        <w:rPr>
          <w:rFonts w:ascii="Calibri" w:cs="Calibri" w:eastAsia="Calibri" w:hAnsi="Calibri"/>
          <w:sz w:val="22"/>
          <w:szCs w:val="22"/>
        </w:rPr>
        <w:t xml:space="preserve">Replace the step function with a linear interpolation over (gogoEnd − 2) to (gogoEnd + 1) between go-go and slow-go targets.</w:t>
      </w:r>
    </w:p>
    <w:p>
      <w:pPr>
        <w:pStyle w:val="Heading1"/>
        <w:spacing w:after="160" w:before="320"/>
      </w:pPr>
      <w:r>
        <w:rPr>
          <w:rFonts w:ascii="Calibri" w:cs="Calibri" w:eastAsia="Calibri" w:hAnsi="Calibri"/>
          <w:b/>
          <w:bCs/>
          <w:color w:val="0F2744"/>
          <w:sz w:val="30"/>
          <w:szCs w:val="30"/>
        </w:rPr>
        <w:t xml:space="preserve">8. Implementation Roadmap</w:t>
      </w:r>
    </w:p>
    <w:p>
      <w:pPr>
        <w:spacing w:after="120" w:line="300"/>
      </w:pPr>
      <w:r>
        <w:rPr>
          <w:rFonts w:ascii="Calibri" w:cs="Calibri" w:eastAsia="Calibri" w:hAnsi="Calibri"/>
          <w:sz w:val="22"/>
          <w:szCs w:val="22"/>
        </w:rPr>
        <w:t xml:space="preserve">The fixes are grouped into four phases. Phase 1 is the minimum required to meet the stated objective — 'consistent real net income with no shortfalls across the life of the plan.' Phases 2–4 bring the dashboard in line with Snap / Parallel Wealth capability.</w:t>
      </w:r>
    </w:p>
    <w:p>
      <w:pPr>
        <w:pStyle w:val="Heading2"/>
        <w:spacing w:after="120" w:before="260"/>
      </w:pPr>
      <w:r>
        <w:rPr>
          <w:rFonts w:ascii="Calibri" w:cs="Calibri" w:eastAsia="Calibri" w:hAnsi="Calibri"/>
          <w:b/>
          <w:bCs/>
          <w:color w:val="0F2744"/>
          <w:sz w:val="26"/>
          <w:szCs w:val="26"/>
        </w:rPr>
        <w:t xml:space="preserve">Phase 1 — Eliminate shortfalls and fix critical calculations (1–2 days)</w:t>
      </w:r>
    </w:p>
    <w:p>
      <w:pPr>
        <w:pStyle w:val="ListParagraph"/>
        <w:numPr>
          <w:ilvl w:val="0"/>
          <w:numId w:val="2"/>
        </w:numPr>
        <w:spacing w:after="60" w:line="290"/>
      </w:pPr>
      <w:r>
        <w:rPr>
          <w:rFonts w:ascii="Calibri" w:cs="Calibri" w:eastAsia="Calibri" w:hAnsi="Calibri"/>
          <w:sz w:val="22"/>
          <w:szCs w:val="22"/>
        </w:rPr>
        <w:t xml:space="preserve">1.1 Allow discretionary RRSP/RRIF withdrawals at any age (remove the ageF≥65 gate on RRSP draws; apply RRIF minimums only after RRSP→RRIF conversion age).</w:t>
      </w:r>
    </w:p>
    <w:p>
      <w:pPr>
        <w:pStyle w:val="ListParagraph"/>
        <w:numPr>
          <w:ilvl w:val="0"/>
          <w:numId w:val="2"/>
        </w:numPr>
        <w:spacing w:after="60" w:line="290"/>
      </w:pPr>
      <w:r>
        <w:rPr>
          <w:rFonts w:ascii="Calibri" w:cs="Calibri" w:eastAsia="Calibri" w:hAnsi="Calibri"/>
          <w:sz w:val="22"/>
          <w:szCs w:val="22"/>
        </w:rPr>
        <w:t xml:space="preserve">1.2 Introduce a per-year taxable-income target; solve each year's registered draw to hit it (simple bracketing root-find).</w:t>
      </w:r>
    </w:p>
    <w:p>
      <w:pPr>
        <w:pStyle w:val="ListParagraph"/>
        <w:numPr>
          <w:ilvl w:val="0"/>
          <w:numId w:val="2"/>
        </w:numPr>
        <w:spacing w:after="60" w:line="290"/>
      </w:pPr>
      <w:r>
        <w:rPr>
          <w:rFonts w:ascii="Calibri" w:cs="Calibri" w:eastAsia="Calibri" w:hAnsi="Calibri"/>
          <w:sz w:val="22"/>
          <w:szCs w:val="22"/>
        </w:rPr>
        <w:t xml:space="preserve">1.3 Generalise CPP adjustment formula to all start ages 60–70 (−0.6%/mo, +0.7%/mo).</w:t>
      </w:r>
    </w:p>
    <w:p>
      <w:pPr>
        <w:pStyle w:val="ListParagraph"/>
        <w:numPr>
          <w:ilvl w:val="0"/>
          <w:numId w:val="2"/>
        </w:numPr>
        <w:spacing w:after="60" w:line="290"/>
      </w:pPr>
      <w:r>
        <w:rPr>
          <w:rFonts w:ascii="Calibri" w:cs="Calibri" w:eastAsia="Calibri" w:hAnsi="Calibri"/>
          <w:sz w:val="22"/>
          <w:szCs w:val="22"/>
        </w:rPr>
        <w:t xml:space="preserve">1.4 Add realised-capital-gain to taxable income on non-reg draws (50% inclusion, 66.67% above $250K annual).</w:t>
      </w:r>
    </w:p>
    <w:p>
      <w:pPr>
        <w:pStyle w:val="ListParagraph"/>
        <w:numPr>
          <w:ilvl w:val="0"/>
          <w:numId w:val="2"/>
        </w:numPr>
        <w:spacing w:after="60" w:line="290"/>
      </w:pPr>
      <w:r>
        <w:rPr>
          <w:rFonts w:ascii="Calibri" w:cs="Calibri" w:eastAsia="Calibri" w:hAnsi="Calibri"/>
          <w:sz w:val="22"/>
          <w:szCs w:val="22"/>
        </w:rPr>
        <w:t xml:space="preserve">1.5 Re-compute OAS clawback AFTER pension splitting; include clawback in optimalSplit objective.</w:t>
      </w:r>
    </w:p>
    <w:p>
      <w:pPr>
        <w:pStyle w:val="ListParagraph"/>
        <w:numPr>
          <w:ilvl w:val="0"/>
          <w:numId w:val="2"/>
        </w:numPr>
        <w:spacing w:after="60" w:line="290"/>
      </w:pPr>
      <w:r>
        <w:rPr>
          <w:rFonts w:ascii="Calibri" w:cs="Calibri" w:eastAsia="Calibri" w:hAnsi="Calibri"/>
          <w:sz w:val="22"/>
          <w:szCs w:val="22"/>
        </w:rPr>
        <w:t xml:space="preserve">1.6 Fix CPP survivor cap (use single-person max, not sum).</w:t>
      </w:r>
    </w:p>
    <w:p>
      <w:pPr>
        <w:pStyle w:val="ListParagraph"/>
        <w:numPr>
          <w:ilvl w:val="0"/>
          <w:numId w:val="2"/>
        </w:numPr>
        <w:spacing w:after="60" w:line="290"/>
      </w:pPr>
      <w:r>
        <w:rPr>
          <w:rFonts w:ascii="Calibri" w:cs="Calibri" w:eastAsia="Calibri" w:hAnsi="Calibri"/>
          <w:sz w:val="22"/>
          <w:szCs w:val="22"/>
        </w:rPr>
        <w:t xml:space="preserve">1.7 Fix the START=2027 hard-code; fix the keys=['base','melt','zero','surv'] missing maxs.</w:t>
      </w:r>
    </w:p>
    <w:p>
      <w:pPr>
        <w:pBdr>
          <w:left w:val="single" w:color="1E8C4A" w:sz="20" w:space="6"/>
        </w:pBdr>
        <w:shd w:fill="FFF8E8" w:val="clear"/>
        <w:spacing w:after="140" w:before="80" w:line="280"/>
        <w:ind w:left="200"/>
      </w:pPr>
      <w:r>
        <w:rPr>
          <w:rFonts w:ascii="Calibri" w:cs="Calibri" w:eastAsia="Calibri" w:hAnsi="Calibri"/>
          <w:b/>
          <w:bCs/>
          <w:color w:val="1E8C4A"/>
          <w:sz w:val="22"/>
          <w:szCs w:val="22"/>
        </w:rPr>
        <w:t xml:space="preserve">Exit criterion: </w:t>
      </w:r>
      <w:r>
        <w:rPr>
          <w:rFonts w:ascii="Calibri" w:cs="Calibri" w:eastAsia="Calibri" w:hAnsi="Calibri"/>
          <w:sz w:val="22"/>
          <w:szCs w:val="22"/>
        </w:rPr>
        <w:t xml:space="preserve">Baseline scenario shows zero shortfall years across 2027–2064, and Scenario Comparison reflects realistic relative performance. Real-dollar Monthly After-Tax stays within ±3% of the Go-Go target for the full Go-Go phase (and similarly for Slow-Go and No-Go).</w:t>
      </w:r>
    </w:p>
    <w:p>
      <w:pPr>
        <w:pStyle w:val="Heading2"/>
        <w:spacing w:after="120" w:before="260"/>
      </w:pPr>
      <w:r>
        <w:rPr>
          <w:rFonts w:ascii="Calibri" w:cs="Calibri" w:eastAsia="Calibri" w:hAnsi="Calibri"/>
          <w:b/>
          <w:bCs/>
          <w:color w:val="0F2744"/>
          <w:sz w:val="26"/>
          <w:szCs w:val="26"/>
        </w:rPr>
        <w:t xml:space="preserve">Phase 2 — Tax, survivor and account-type fidelity (2–3 days)</w:t>
      </w:r>
    </w:p>
    <w:p>
      <w:pPr>
        <w:pStyle w:val="ListParagraph"/>
        <w:numPr>
          <w:ilvl w:val="0"/>
          <w:numId w:val="2"/>
        </w:numPr>
        <w:spacing w:after="60" w:line="290"/>
      </w:pPr>
      <w:r>
        <w:rPr>
          <w:rFonts w:ascii="Calibri" w:cs="Calibri" w:eastAsia="Calibri" w:hAnsi="Calibri"/>
          <w:sz w:val="22"/>
          <w:szCs w:val="22"/>
        </w:rPr>
        <w:t xml:space="preserve">2.1 Fix the survivor scenario: non-reg → Moon's non-reg (spousal rollover); LIF → Moon's LIF; compute terminal return on any un-rolled balances.</w:t>
      </w:r>
    </w:p>
    <w:p>
      <w:pPr>
        <w:pStyle w:val="ListParagraph"/>
        <w:numPr>
          <w:ilvl w:val="0"/>
          <w:numId w:val="2"/>
        </w:numPr>
        <w:spacing w:after="60" w:line="290"/>
      </w:pPr>
      <w:r>
        <w:rPr>
          <w:rFonts w:ascii="Calibri" w:cs="Calibri" w:eastAsia="Calibri" w:hAnsi="Calibri"/>
          <w:sz w:val="22"/>
          <w:szCs w:val="22"/>
        </w:rPr>
        <w:t xml:space="preserve">2.2 Add st.nonreg_m, st.nonreg_acb_m and allow joint ownership to split growth and draws.</w:t>
      </w:r>
    </w:p>
    <w:p>
      <w:pPr>
        <w:pStyle w:val="ListParagraph"/>
        <w:numPr>
          <w:ilvl w:val="0"/>
          <w:numId w:val="2"/>
        </w:numPr>
        <w:spacing w:after="60" w:line="290"/>
      </w:pPr>
      <w:r>
        <w:rPr>
          <w:rFonts w:ascii="Calibri" w:cs="Calibri" w:eastAsia="Calibri" w:hAnsi="Calibri"/>
          <w:sz w:val="22"/>
          <w:szCs w:val="22"/>
        </w:rPr>
        <w:t xml:space="preserve">2.3 Model annual non-registered taxable distributions (interest / eligible div / CG-dist) by asset-allocation.</w:t>
      </w:r>
    </w:p>
    <w:p>
      <w:pPr>
        <w:pStyle w:val="ListParagraph"/>
        <w:numPr>
          <w:ilvl w:val="0"/>
          <w:numId w:val="2"/>
        </w:numPr>
        <w:spacing w:after="60" w:line="290"/>
      </w:pPr>
      <w:r>
        <w:rPr>
          <w:rFonts w:ascii="Calibri" w:cs="Calibri" w:eastAsia="Calibri" w:hAnsi="Calibri"/>
          <w:sz w:val="22"/>
          <w:szCs w:val="22"/>
        </w:rPr>
        <w:t xml:space="preserve">2.4 Unify indexation: CPI, CPP, OAS, fedTax, onTax as separate D.assumptions inputs.</w:t>
      </w:r>
    </w:p>
    <w:p>
      <w:pPr>
        <w:pStyle w:val="ListParagraph"/>
        <w:numPr>
          <w:ilvl w:val="0"/>
          <w:numId w:val="2"/>
        </w:numPr>
        <w:spacing w:after="60" w:line="290"/>
      </w:pPr>
      <w:r>
        <w:rPr>
          <w:rFonts w:ascii="Calibri" w:cs="Calibri" w:eastAsia="Calibri" w:hAnsi="Calibri"/>
          <w:sz w:val="22"/>
          <w:szCs w:val="22"/>
        </w:rPr>
        <w:t xml:space="preserve">2.5 Implement federal BPA phase-out for high-income years.</w:t>
      </w:r>
    </w:p>
    <w:p>
      <w:pPr>
        <w:pStyle w:val="ListParagraph"/>
        <w:numPr>
          <w:ilvl w:val="0"/>
          <w:numId w:val="2"/>
        </w:numPr>
        <w:spacing w:after="60" w:line="290"/>
      </w:pPr>
      <w:r>
        <w:rPr>
          <w:rFonts w:ascii="Calibri" w:cs="Calibri" w:eastAsia="Calibri" w:hAnsi="Calibri"/>
          <w:sz w:val="22"/>
          <w:szCs w:val="22"/>
        </w:rPr>
        <w:t xml:space="preserve">2.6 Add Ontario Health Premium.</w:t>
      </w:r>
    </w:p>
    <w:p>
      <w:pPr>
        <w:pStyle w:val="ListParagraph"/>
        <w:numPr>
          <w:ilvl w:val="0"/>
          <w:numId w:val="2"/>
        </w:numPr>
        <w:spacing w:after="60" w:line="290"/>
      </w:pPr>
      <w:r>
        <w:rPr>
          <w:rFonts w:ascii="Calibri" w:cs="Calibri" w:eastAsia="Calibri" w:hAnsi="Calibri"/>
          <w:sz w:val="22"/>
          <w:szCs w:val="22"/>
        </w:rPr>
        <w:t xml:space="preserve">2.7 Extend meltdown to draw from LIF up to lif_max(age); enforce LIF maximum in all scenarios.</w:t>
      </w:r>
    </w:p>
    <w:p>
      <w:pPr>
        <w:pStyle w:val="ListParagraph"/>
        <w:numPr>
          <w:ilvl w:val="0"/>
          <w:numId w:val="2"/>
        </w:numPr>
        <w:spacing w:after="60" w:line="290"/>
      </w:pPr>
      <w:r>
        <w:rPr>
          <w:rFonts w:ascii="Calibri" w:cs="Calibri" w:eastAsia="Calibri" w:hAnsi="Calibri"/>
          <w:sz w:val="22"/>
          <w:szCs w:val="22"/>
        </w:rPr>
        <w:t xml:space="preserve">2.8 Fix mortgage payoff-year payment return value; properly amortise LOC.</w:t>
      </w:r>
    </w:p>
    <w:p>
      <w:pPr>
        <w:pStyle w:val="Heading2"/>
        <w:spacing w:after="120" w:before="260"/>
      </w:pPr>
      <w:r>
        <w:rPr>
          <w:rFonts w:ascii="Calibri" w:cs="Calibri" w:eastAsia="Calibri" w:hAnsi="Calibri"/>
          <w:b/>
          <w:bCs/>
          <w:color w:val="0F2744"/>
          <w:sz w:val="26"/>
          <w:szCs w:val="26"/>
        </w:rPr>
        <w:t xml:space="preserve">Phase 3 — Snap / Parallel Wealth feature parity (3–5 days)</w:t>
      </w:r>
    </w:p>
    <w:p>
      <w:pPr>
        <w:pStyle w:val="ListParagraph"/>
        <w:numPr>
          <w:ilvl w:val="0"/>
          <w:numId w:val="2"/>
        </w:numPr>
        <w:spacing w:after="60" w:line="290"/>
      </w:pPr>
      <w:r>
        <w:rPr>
          <w:rFonts w:ascii="Calibri" w:cs="Calibri" w:eastAsia="Calibri" w:hAnsi="Calibri"/>
          <w:sz w:val="22"/>
          <w:szCs w:val="22"/>
        </w:rPr>
        <w:t xml:space="preserve">3.1 Per-year withdrawal-order override (CFM) with three presets: default (N→T→R), meltdown (R→N→T), hybrid.</w:t>
      </w:r>
    </w:p>
    <w:p>
      <w:pPr>
        <w:pStyle w:val="ListParagraph"/>
        <w:numPr>
          <w:ilvl w:val="0"/>
          <w:numId w:val="2"/>
        </w:numPr>
        <w:spacing w:after="60" w:line="290"/>
      </w:pPr>
      <w:r>
        <w:rPr>
          <w:rFonts w:ascii="Calibri" w:cs="Calibri" w:eastAsia="Calibri" w:hAnsi="Calibri"/>
          <w:sz w:val="22"/>
          <w:szCs w:val="22"/>
        </w:rPr>
        <w:t xml:space="preserve">3.2 Cash-wedge account: 2 years of spending in cash, drawn before equities in negative-return years.</w:t>
      </w:r>
    </w:p>
    <w:p>
      <w:pPr>
        <w:pStyle w:val="ListParagraph"/>
        <w:numPr>
          <w:ilvl w:val="0"/>
          <w:numId w:val="2"/>
        </w:numPr>
        <w:spacing w:after="60" w:line="290"/>
      </w:pPr>
      <w:r>
        <w:rPr>
          <w:rFonts w:ascii="Calibri" w:cs="Calibri" w:eastAsia="Calibri" w:hAnsi="Calibri"/>
          <w:sz w:val="22"/>
          <w:szCs w:val="22"/>
        </w:rPr>
        <w:t xml:space="preserve">3.3 Younger-spouse RRIF election: use Moon's age for Frank's RRIF minimum.</w:t>
      </w:r>
    </w:p>
    <w:p>
      <w:pPr>
        <w:pStyle w:val="ListParagraph"/>
        <w:numPr>
          <w:ilvl w:val="0"/>
          <w:numId w:val="2"/>
        </w:numPr>
        <w:spacing w:after="60" w:line="290"/>
      </w:pPr>
      <w:r>
        <w:rPr>
          <w:rFonts w:ascii="Calibri" w:cs="Calibri" w:eastAsia="Calibri" w:hAnsi="Calibri"/>
          <w:sz w:val="22"/>
          <w:szCs w:val="22"/>
        </w:rPr>
        <w:t xml:space="preserve">3.4 Spousal-RRSP attribution (3-year lookback).</w:t>
      </w:r>
    </w:p>
    <w:p>
      <w:pPr>
        <w:pStyle w:val="ListParagraph"/>
        <w:numPr>
          <w:ilvl w:val="0"/>
          <w:numId w:val="2"/>
        </w:numPr>
        <w:spacing w:after="60" w:line="290"/>
      </w:pPr>
      <w:r>
        <w:rPr>
          <w:rFonts w:ascii="Calibri" w:cs="Calibri" w:eastAsia="Calibri" w:hAnsi="Calibri"/>
          <w:sz w:val="22"/>
          <w:szCs w:val="22"/>
        </w:rPr>
        <w:t xml:space="preserve">3.5 CPP sharing (distinct from splitting).</w:t>
      </w:r>
    </w:p>
    <w:p>
      <w:pPr>
        <w:pStyle w:val="ListParagraph"/>
        <w:numPr>
          <w:ilvl w:val="0"/>
          <w:numId w:val="2"/>
        </w:numPr>
        <w:spacing w:after="60" w:line="290"/>
      </w:pPr>
      <w:r>
        <w:rPr>
          <w:rFonts w:ascii="Calibri" w:cs="Calibri" w:eastAsia="Calibri" w:hAnsi="Calibri"/>
          <w:sz w:val="22"/>
          <w:szCs w:val="22"/>
        </w:rPr>
        <w:t xml:space="preserve">3.6 Principal residence with downsize event (year + net proceeds). Principal-residence exemption applied.</w:t>
      </w:r>
    </w:p>
    <w:p>
      <w:pPr>
        <w:pStyle w:val="ListParagraph"/>
        <w:numPr>
          <w:ilvl w:val="0"/>
          <w:numId w:val="2"/>
        </w:numPr>
        <w:spacing w:after="60" w:line="290"/>
      </w:pPr>
      <w:r>
        <w:rPr>
          <w:rFonts w:ascii="Calibri" w:cs="Calibri" w:eastAsia="Calibri" w:hAnsi="Calibri"/>
          <w:sz w:val="22"/>
          <w:szCs w:val="22"/>
        </w:rPr>
        <w:t xml:space="preserve">3.7 One-off expenses and bequest lines.</w:t>
      </w:r>
    </w:p>
    <w:p>
      <w:pPr>
        <w:pStyle w:val="ListParagraph"/>
        <w:numPr>
          <w:ilvl w:val="0"/>
          <w:numId w:val="2"/>
        </w:numPr>
        <w:spacing w:after="60" w:line="290"/>
      </w:pPr>
      <w:r>
        <w:rPr>
          <w:rFonts w:ascii="Calibri" w:cs="Calibri" w:eastAsia="Calibri" w:hAnsi="Calibri"/>
          <w:sz w:val="22"/>
          <w:szCs w:val="22"/>
        </w:rPr>
        <w:t xml:space="preserve">3.8 Real/Nominal toggle at top of dashboard.</w:t>
      </w:r>
    </w:p>
    <w:p>
      <w:pPr>
        <w:pStyle w:val="ListParagraph"/>
        <w:numPr>
          <w:ilvl w:val="0"/>
          <w:numId w:val="2"/>
        </w:numPr>
        <w:spacing w:after="60" w:line="290"/>
      </w:pPr>
      <w:r>
        <w:rPr>
          <w:rFonts w:ascii="Calibri" w:cs="Calibri" w:eastAsia="Calibri" w:hAnsi="Calibri"/>
          <w:sz w:val="22"/>
          <w:szCs w:val="22"/>
        </w:rPr>
        <w:t xml:space="preserve">3.9 Separate 'First shortfall year' vs 'Portfolio depletion year' KPIs.</w:t>
      </w:r>
    </w:p>
    <w:p>
      <w:pPr>
        <w:pStyle w:val="Heading2"/>
        <w:spacing w:after="120" w:before="260"/>
      </w:pPr>
      <w:r>
        <w:rPr>
          <w:rFonts w:ascii="Calibri" w:cs="Calibri" w:eastAsia="Calibri" w:hAnsi="Calibri"/>
          <w:b/>
          <w:bCs/>
          <w:color w:val="0F2744"/>
          <w:sz w:val="26"/>
          <w:szCs w:val="26"/>
        </w:rPr>
        <w:t xml:space="preserve">Phase 4 — Stress testing and reporting (3–5 days)</w:t>
      </w:r>
    </w:p>
    <w:p>
      <w:pPr>
        <w:pStyle w:val="ListParagraph"/>
        <w:numPr>
          <w:ilvl w:val="0"/>
          <w:numId w:val="2"/>
        </w:numPr>
        <w:spacing w:after="60" w:line="290"/>
      </w:pPr>
      <w:r>
        <w:rPr>
          <w:rFonts w:ascii="Calibri" w:cs="Calibri" w:eastAsia="Calibri" w:hAnsi="Calibri"/>
          <w:sz w:val="22"/>
          <w:szCs w:val="22"/>
        </w:rPr>
        <w:t xml:space="preserve">4.1 Monte Carlo engine (1,000 paths, normal distribution around configured mean, configurable SD per asset class). Display 10th/50th/90th percentile fan chart.</w:t>
      </w:r>
    </w:p>
    <w:p>
      <w:pPr>
        <w:pStyle w:val="ListParagraph"/>
        <w:numPr>
          <w:ilvl w:val="0"/>
          <w:numId w:val="2"/>
        </w:numPr>
        <w:spacing w:after="60" w:line="290"/>
      </w:pPr>
      <w:r>
        <w:rPr>
          <w:rFonts w:ascii="Calibri" w:cs="Calibri" w:eastAsia="Calibri" w:hAnsi="Calibri"/>
          <w:sz w:val="22"/>
          <w:szCs w:val="22"/>
        </w:rPr>
        <w:t xml:space="preserve">4.2 Sequence-of-returns stress test: apply worst historical 5-year returns (1929, 1973, 2000, 2008) to the first 5 years of retirement.</w:t>
      </w:r>
    </w:p>
    <w:p>
      <w:pPr>
        <w:pStyle w:val="ListParagraph"/>
        <w:numPr>
          <w:ilvl w:val="0"/>
          <w:numId w:val="2"/>
        </w:numPr>
        <w:spacing w:after="60" w:line="290"/>
      </w:pPr>
      <w:r>
        <w:rPr>
          <w:rFonts w:ascii="Calibri" w:cs="Calibri" w:eastAsia="Calibri" w:hAnsi="Calibri"/>
          <w:sz w:val="22"/>
          <w:szCs w:val="22"/>
        </w:rPr>
        <w:t xml:space="preserve">4.3 Probability-of-success metric: % of Monte Carlo paths with zero shortfalls.</w:t>
      </w:r>
    </w:p>
    <w:p>
      <w:pPr>
        <w:pStyle w:val="ListParagraph"/>
        <w:numPr>
          <w:ilvl w:val="0"/>
          <w:numId w:val="2"/>
        </w:numPr>
        <w:spacing w:after="60" w:line="290"/>
      </w:pPr>
      <w:r>
        <w:rPr>
          <w:rFonts w:ascii="Calibri" w:cs="Calibri" w:eastAsia="Calibri" w:hAnsi="Calibri"/>
          <w:sz w:val="22"/>
          <w:szCs w:val="22"/>
        </w:rPr>
        <w:t xml:space="preserve">4.4 PDF/print export and SnapShot-style one-pager.</w:t>
      </w:r>
    </w:p>
    <w:p>
      <w:pPr>
        <w:pStyle w:val="ListParagraph"/>
        <w:numPr>
          <w:ilvl w:val="0"/>
          <w:numId w:val="2"/>
        </w:numPr>
        <w:spacing w:after="60" w:line="290"/>
      </w:pPr>
      <w:r>
        <w:rPr>
          <w:rFonts w:ascii="Calibri" w:cs="Calibri" w:eastAsia="Calibri" w:hAnsi="Calibri"/>
          <w:sz w:val="22"/>
          <w:szCs w:val="22"/>
        </w:rPr>
        <w:t xml:space="preserve">4.5 FP Canada Projection Assumption Guidelines import / default-set toggle.</w:t>
      </w:r>
    </w:p>
    <w:p>
      <w:pPr>
        <w:pStyle w:val="Heading1"/>
        <w:spacing w:after="160" w:before="320"/>
      </w:pPr>
      <w:r>
        <w:rPr>
          <w:rFonts w:ascii="Calibri" w:cs="Calibri" w:eastAsia="Calibri" w:hAnsi="Calibri"/>
          <w:b/>
          <w:bCs/>
          <w:color w:val="0F2744"/>
          <w:sz w:val="30"/>
          <w:szCs w:val="30"/>
        </w:rPr>
        <w:t xml:space="preserve">9. Appendix — Drop-in Code Snippets for Phase 1</w:t>
      </w:r>
    </w:p>
    <w:p>
      <w:pPr>
        <w:pStyle w:val="Heading2"/>
        <w:spacing w:after="120" w:before="260"/>
      </w:pPr>
      <w:r>
        <w:rPr>
          <w:rFonts w:ascii="Calibri" w:cs="Calibri" w:eastAsia="Calibri" w:hAnsi="Calibri"/>
          <w:b/>
          <w:bCs/>
          <w:color w:val="0F2744"/>
          <w:sz w:val="26"/>
          <w:szCs w:val="26"/>
        </w:rPr>
        <w:t xml:space="preserve">9.1 Generalised CPP calculator</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function calcCPP(person, year, startAge, frankAlive = true){
  if (!frankAlive) return 0;
  const age = year - person.dob;
  if (age &lt; startAge) return 0;
  const monthsFrom65 = (startAge - 65) * 12;
  const adj = monthsFrom65 &lt; 0
    ? 1 + monthsFrom65 * 0.006
    : 1 + monthsFrom65 * 0.007;
  const amount = person.cpp65 * adj;
  const startYear = person.dob + startAge;
  return amount * Math.pow(1 + (D.assumptions.cppIndex || 0.02), year - startYear);
}</w:t>
      </w:r>
    </w:p>
    <w:p>
      <w:pPr>
        <w:pStyle w:val="Heading2"/>
        <w:spacing w:after="120" w:before="260"/>
      </w:pPr>
      <w:r>
        <w:rPr>
          <w:rFonts w:ascii="Calibri" w:cs="Calibri" w:eastAsia="Calibri" w:hAnsi="Calibri"/>
          <w:b/>
          <w:bCs/>
          <w:color w:val="0F2744"/>
          <w:sz w:val="26"/>
          <w:szCs w:val="26"/>
        </w:rPr>
        <w:t xml:space="preserve">9.2 Taxable-income-target solver (replaces the hard-coded meltdown draw)</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 Solve for RRSP/RRIF draw such that post-tax income ≈ target.
function draw_for_target_income(person, year, target, fixedIncome, rrifMin, balance){
  // Post-split, post-clawback after-tax income at given draw d:
  function aftTax(d){
    const inc = fixedIncome + d;
    const tax = calcTax(inc, year-person.dob, year, d&gt;0) + oasClawback(inc, year);
    return inc - tax;
  }
  // Binary search for the draw that gives the desired after-tax income.
  let lo = rrifMin, hi = Math.min(balance, 200000 * Math.pow(1.025, year-2026));
  for (let i = 0; i &lt; 40; i++){
    const mid = (lo+hi)/2;
    if (aftTax(mid) &lt; target) lo = mid; else hi = mid;
  }
  return (lo+hi)/2;
}</w:t>
      </w:r>
    </w:p>
    <w:p>
      <w:pPr>
        <w:pStyle w:val="Heading2"/>
        <w:spacing w:after="120" w:before="260"/>
      </w:pPr>
      <w:r>
        <w:rPr>
          <w:rFonts w:ascii="Calibri" w:cs="Calibri" w:eastAsia="Calibri" w:hAnsi="Calibri"/>
          <w:b/>
          <w:bCs/>
          <w:color w:val="0F2744"/>
          <w:sz w:val="26"/>
          <w:szCs w:val="26"/>
        </w:rPr>
        <w:t xml:space="preserve">9.3 OAS clawback after splitting</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 Replace lines 636–656 with:
// 1. Optimizer (includes clawback in objective):
function optimalSplit(...){
  ...
  const clawFpost = oasClawback(frankEligible*(1-frac)+frankOther, year);
  const clawMpost = oasClawback(moonIncome+split, year);
  const combined = fTax + mTax + clawFpost + clawMpost;
  ...
}
// 2. Final clawback computed AFTER split:
if (cfg.pensionSplit &amp;&amp; frankAlive){
  const frac = optimalSplit(...);
  splitAmt = eligF * frac;
  taxableF -= splitAmt;
  taxableM += splitAmt;
}
const clawF = oasClawback(taxableF, year);
const clawM = oasClawback(taxableM, year);</w:t>
      </w:r>
    </w:p>
    <w:p>
      <w:pPr>
        <w:pStyle w:val="Heading2"/>
        <w:spacing w:after="120" w:before="260"/>
      </w:pPr>
      <w:r>
        <w:rPr>
          <w:rFonts w:ascii="Calibri" w:cs="Calibri" w:eastAsia="Calibri" w:hAnsi="Calibri"/>
          <w:b/>
          <w:bCs/>
          <w:color w:val="0F2744"/>
          <w:sz w:val="26"/>
          <w:szCs w:val="26"/>
        </w:rPr>
        <w:t xml:space="preserve">9.4 Non-registered taxation on draw</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 After computing nonreg_draw_f:
const gainDrawn = nonreg_draw_f &gt; 0
  ? (nonreg_draw_f / st.nonreg_f) * Math.max(0, st.nonreg_f - st.nonreg_acb_f)
  : 0;
// Add 50% of the gain (or 66.67% above $250K/yr) to taxable income:
const cgInclusion = gainDrawn &lt;= 250000
  ? gainDrawn * 0.50
  : 125000 + (gainDrawn - 250000) * 0.6667;
taxableF += cgInclusion;
// Then recompute Frank's tax (iterate once) and clawback.</w:t>
      </w:r>
    </w:p>
    <w:p>
      <w:pPr>
        <w:pStyle w:val="Heading2"/>
        <w:spacing w:after="120" w:before="260"/>
      </w:pPr>
      <w:r>
        <w:rPr>
          <w:rFonts w:ascii="Calibri" w:cs="Calibri" w:eastAsia="Calibri" w:hAnsi="Calibri"/>
          <w:b/>
          <w:bCs/>
          <w:color w:val="0F2744"/>
          <w:sz w:val="26"/>
          <w:szCs w:val="26"/>
        </w:rPr>
        <w:t xml:space="preserve">9.5 CPP survivor cap</w:t>
      </w:r>
    </w:p>
    <w:p>
      <w:pPr>
        <w:pBdr>
          <w:left w:val="single" w:color="C8D0DC" w:sz="12" w:space="6"/>
        </w:pBdr>
        <w:shd w:fill="F2F4F8" w:val="clear"/>
        <w:spacing w:after="120" w:before="80" w:line="260"/>
        <w:ind w:left="200"/>
      </w:pPr>
      <w:r>
        <w:rPr>
          <w:rFonts w:ascii="Consolas" w:cs="Consolas" w:eastAsia="Consolas" w:hAnsi="Consolas"/>
          <w:sz w:val="20"/>
          <w:szCs w:val="20"/>
        </w:rPr>
        <w:t xml:space="preserve">// Replace the overstated cap with the single-person max at survivor's age.
function cppMaxAtAge(year, age){
  const max65 = 1433.44 * 12;  // 2026 single-person max, indexed.
  const months = (age - 65) * 12;
  const adj = months &lt; 0 ? 1 + months*0.006 : 1 + months*0.007;
  return max65 * adj * Math.pow(1 + (D.assumptions.cppIndex || 0.02), year - 2026);
}
if (!frankAlive &amp;&amp; year &gt; frankDeathYear){
  const survAge = year - D.moon.dob;
  const surv = survAge &lt; 65 ? D.moon.cppSurvivor_under65 : D.moon.cppSurvivor_over65;
  cpp = Math.min(cpp + surv * Math.pow(1.02, year-frankDeathYear),
                 cppMaxAtAge(year, survAge));
}</w:t>
      </w:r>
    </w:p>
    <w:p>
      <w:pPr>
        <w:pStyle w:val="Heading1"/>
        <w:spacing w:after="160" w:before="320"/>
      </w:pPr>
      <w:r>
        <w:rPr>
          <w:rFonts w:ascii="Calibri" w:cs="Calibri" w:eastAsia="Calibri" w:hAnsi="Calibri"/>
          <w:b/>
          <w:bCs/>
          <w:color w:val="0F2744"/>
          <w:sz w:val="30"/>
          <w:szCs w:val="30"/>
        </w:rPr>
        <w:t xml:space="preserve">10. Quick Wins (30 minutes, no structural changes)</w:t>
      </w:r>
    </w:p>
    <w:p>
      <w:pPr>
        <w:pStyle w:val="ListParagraph"/>
        <w:numPr>
          <w:ilvl w:val="0"/>
          <w:numId w:val="2"/>
        </w:numPr>
        <w:spacing w:after="60" w:line="290"/>
      </w:pPr>
      <w:r>
        <w:rPr>
          <w:rFonts w:ascii="Calibri" w:cs="Calibri" w:eastAsia="Calibri" w:hAnsi="Calibri"/>
          <w:sz w:val="22"/>
          <w:szCs w:val="22"/>
        </w:rPr>
        <w:t xml:space="preserve">Fix Max Spend tab: add 'maxs' to keys array (line 862).</w:t>
      </w:r>
    </w:p>
    <w:p>
      <w:pPr>
        <w:pStyle w:val="ListParagraph"/>
        <w:numPr>
          <w:ilvl w:val="0"/>
          <w:numId w:val="2"/>
        </w:numPr>
        <w:spacing w:after="60" w:line="290"/>
      </w:pPr>
      <w:r>
        <w:rPr>
          <w:rFonts w:ascii="Calibri" w:cs="Calibri" w:eastAsia="Calibri" w:hAnsi="Calibri"/>
          <w:sz w:val="22"/>
          <w:szCs w:val="22"/>
        </w:rPr>
        <w:t xml:space="preserve">Fix header text: either change to 'All figures in nominal dollars' or add a toggle.</w:t>
      </w:r>
    </w:p>
    <w:p>
      <w:pPr>
        <w:pStyle w:val="ListParagraph"/>
        <w:numPr>
          <w:ilvl w:val="0"/>
          <w:numId w:val="2"/>
        </w:numPr>
        <w:spacing w:after="60" w:line="290"/>
      </w:pPr>
      <w:r>
        <w:rPr>
          <w:rFonts w:ascii="Calibri" w:cs="Calibri" w:eastAsia="Calibri" w:hAnsi="Calibri"/>
          <w:sz w:val="22"/>
          <w:szCs w:val="22"/>
        </w:rPr>
        <w:t xml:space="preserve">Fix START = 2027 hard-code.</w:t>
      </w:r>
    </w:p>
    <w:p>
      <w:pPr>
        <w:pStyle w:val="ListParagraph"/>
        <w:numPr>
          <w:ilvl w:val="0"/>
          <w:numId w:val="2"/>
        </w:numPr>
        <w:spacing w:after="60" w:line="290"/>
      </w:pPr>
      <w:r>
        <w:rPr>
          <w:rFonts w:ascii="Calibri" w:cs="Calibri" w:eastAsia="Calibri" w:hAnsi="Calibri"/>
          <w:sz w:val="22"/>
          <w:szCs w:val="22"/>
        </w:rPr>
        <w:t xml:space="preserve">Fix CPP survivor cap formula.</w:t>
      </w:r>
    </w:p>
    <w:p>
      <w:pPr>
        <w:pStyle w:val="ListParagraph"/>
        <w:numPr>
          <w:ilvl w:val="0"/>
          <w:numId w:val="2"/>
        </w:numPr>
        <w:spacing w:after="60" w:line="290"/>
      </w:pPr>
      <w:r>
        <w:rPr>
          <w:rFonts w:ascii="Calibri" w:cs="Calibri" w:eastAsia="Calibri" w:hAnsi="Calibri"/>
          <w:sz w:val="22"/>
          <w:szCs w:val="22"/>
        </w:rPr>
        <w:t xml:space="preserve">Fix mortgage payoff-year payment calculation.</w:t>
      </w:r>
    </w:p>
    <w:p>
      <w:pPr>
        <w:pStyle w:val="ListParagraph"/>
        <w:numPr>
          <w:ilvl w:val="0"/>
          <w:numId w:val="2"/>
        </w:numPr>
        <w:spacing w:after="60" w:line="290"/>
      </w:pPr>
      <w:r>
        <w:rPr>
          <w:rFonts w:ascii="Calibri" w:cs="Calibri" w:eastAsia="Calibri" w:hAnsi="Calibri"/>
          <w:sz w:val="22"/>
          <w:szCs w:val="22"/>
        </w:rPr>
        <w:t xml:space="preserve">Replace the four hard-coded indexation factors with a single inflation input.</w:t>
      </w:r>
    </w:p>
    <w:p>
      <w:pPr>
        <w:spacing w:after="120" w:line="300"/>
      </w:pPr>
      <w:r>
        <w:rPr>
          <w:rFonts w:ascii="Calibri" w:cs="Calibri" w:eastAsia="Calibri" w:hAnsi="Calibri"/>
          <w:sz w:val="22"/>
          <w:szCs w:val="22"/>
        </w:rPr>
        <w:t xml:space="preserve">None of these require engine redesign. Each is a localised 1–3 line change. Together they remove the most visible 'this doesn't feel professional' signals and reduce support questions from clients who notice the contradictions in the header.</w:t>
      </w:r>
    </w:p>
    <w:p>
      <w:pPr>
        <w:pStyle w:val="Heading1"/>
        <w:spacing w:after="160" w:before="320"/>
      </w:pPr>
      <w:r>
        <w:rPr>
          <w:rFonts w:ascii="Calibri" w:cs="Calibri" w:eastAsia="Calibri" w:hAnsi="Calibri"/>
          <w:b/>
          <w:bCs/>
          <w:color w:val="0F2744"/>
          <w:sz w:val="30"/>
          <w:szCs w:val="30"/>
        </w:rPr>
        <w:t xml:space="preserve">Closing note</w:t>
      </w:r>
    </w:p>
    <w:p>
      <w:pPr>
        <w:spacing w:after="120" w:line="300"/>
      </w:pPr>
      <w:r>
        <w:rPr>
          <w:rFonts w:ascii="Calibri" w:cs="Calibri" w:eastAsia="Calibri" w:hAnsi="Calibri"/>
          <w:sz w:val="22"/>
          <w:szCs w:val="22"/>
        </w:rPr>
        <w:t xml:space="preserve">The dashboard's architecture — a hash-encoded URL payload from the intake form, a single-page client-side calculation engine, and a Chart.js visual layer — is a very defensible technical foundation. None of the issues identified require rebuilding that architecture. The simulation engine needs the Phase 1 fixes to produce trustworthy numbers; Phases 2–4 bring capability parity with Snap and Parallel Wealth. A focused two-week effort by a single developer can take this from a visually appealing demo to a planning-grade tool suitable for delivery to fee-for-service clients in Ontario.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A7A"/>
        <w:sz w:val="18"/>
        <w:szCs w:val="18"/>
      </w:rPr>
      <w:t xml:space="preserve">Page </w:t>
    </w:r>
    <w:r>
      <w:rPr>
        <w:rFonts w:ascii="Calibri" w:cs="Calibri" w:eastAsia="Calibri" w:hAnsi="Calibri"/>
        <w:color w:val="5A6A7A"/>
        <w:sz w:val="18"/>
        <w:szCs w:val="18"/>
      </w:rPr>
      <w:fldChar w:fldCharType="begin"/>
      <w:instrText xml:space="preserve">PAGE</w:instrText>
      <w:fldChar w:fldCharType="separate"/>
      <w:fldChar w:fldCharType="end"/>
    </w:r>
    <w:r>
      <w:rPr>
        <w:rFonts w:ascii="Calibri" w:cs="Calibri" w:eastAsia="Calibri" w:hAnsi="Calibri"/>
        <w:color w:val="5A6A7A"/>
        <w:sz w:val="18"/>
        <w:szCs w:val="18"/>
      </w:rPr>
      <w:t xml:space="preserve"> of </w:t>
    </w:r>
    <w:r>
      <w:rPr>
        <w:rFonts w:ascii="Calibri" w:cs="Calibri" w:eastAsia="Calibri" w:hAnsi="Calibri"/>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A7A"/>
        <w:sz w:val="18"/>
        <w:szCs w:val="18"/>
      </w:rPr>
      <w:t xml:space="preserve">Retirement Plan Dashboard — Senior Planner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lvl w:ilvl="1"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274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F2744"/>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A3A5C"/>
      <w:sz w:val="22"/>
      <w:szCs w:val="22"/>
    </w:rPr>
  </w:style>
  <w:style w:type="paragraph" w:styleId="Heading4">
    <w:name w:val="Heading 4"/>
    <w:basedOn w:val="Normal"/>
    <w:next w:val="Normal"/>
    <w:qFormat/>
    <w:pPr>
      <w:spacing w:after="60" w:before="180"/>
      <w:outlineLvl w:val="3"/>
    </w:pPr>
    <w:rPr>
      <w:rFonts w:ascii="Calibri" w:cs="Calibri" w:eastAsia="Calibri" w:hAnsi="Calibri"/>
      <w:b/>
      <w:bCs/>
      <w:color w:val="1A3A5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 Plan Dashboard Review</dc:title>
  <dc:creator>Senior Planner Review</dc:creator>
  <cp:lastModifiedBy>Un-named</cp:lastModifiedBy>
  <cp:revision>1</cp:revision>
  <dcterms:created xsi:type="dcterms:W3CDTF">2026-04-21T23:24:58.947Z</dcterms:created>
  <dcterms:modified xsi:type="dcterms:W3CDTF">2026-04-21T23:24:58.947Z</dcterms:modified>
</cp:coreProperties>
</file>

<file path=docProps/custom.xml><?xml version="1.0" encoding="utf-8"?>
<Properties xmlns="http://schemas.openxmlformats.org/officeDocument/2006/custom-properties" xmlns:vt="http://schemas.openxmlformats.org/officeDocument/2006/docPropsVTypes"/>
</file>