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Fixture</w:t>
      </w:r>
    </w:p>
    <w:p>
      <w:r>
        <w:t>This Word sourcebook fixture becomes reviewable corpus text.</w:t>
      </w:r>
    </w:p>
    <w:p>
      <w:pPr>
        <w:pStyle w:val="Heading1"/>
      </w:pPr>
      <w:r>
        <w:t>Chapter One</w:t>
      </w:r>
    </w:p>
    <w:p>
      <w:r>
        <w:t>DOCX importer text keeps section order and provenance metadata.</w:t>
      </w:r>
    </w:p>
  </w:body>
</w:document>
</file>

<file path=docProps/app.xml><?xml version="1.0" encoding="utf-8"?>
<Properties xmlns="http://schemas.openxmlformats.org/officeDocument/2006/extended-properties">
  <Application>Ikis synthetic fixture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DOCX Fixture</dc:title>
  <dc:creator>Fixture Author</dc:creator>
  <dc:language>en</dc:language>
  <cp:lastModifiedBy>Ikis Test Harness</cp:lastModifiedBy>
  <dcterms:created xsi:type="dcterms:W3CDTF">2026-05-30T00:00:00Z</dcterms:created>
</cp:coreProperties>
</file>