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Method</w:t>
      </w:r>
    </w:p>
    <w:p>
      <w:pPr>
        <w:spacing w:after="200"/>
      </w:pPr>
      <w:r>
        <w:rPr>
          <w:b w:val="0"/>
          <w:i/>
          <w:sz w:val="18"/>
        </w:rPr>
        <w:t>Note. The task was implemented in PsychoPy (Builder) and presented in Korean; verbatim English translations of all on-screen text are given below. Bracketed values (e.g., [N]) mark study-specific details to be completed by the authors.</w:t>
      </w:r>
    </w:p>
    <w:p>
      <w:pPr>
        <w:pStyle w:val="Heading2"/>
      </w:pPr>
      <w:r>
        <w:t>Participants</w:t>
      </w:r>
    </w:p>
    <w:p>
      <w:r>
        <w:rPr>
          <w:b w:val="0"/>
          <w:i w:val="0"/>
        </w:rPr>
        <w:t>A total of [N] healthy adults ([n] female; M_age = [ ], SD = [ ], range [ ]–[ ] years) participated. Inclusion criteria were [normal or corrected-to-normal vision; normal hearing; no history of cardiovascular, neurological, or psychiatric disorder]. The day before the laboratory session, participants completed the Korean version of the Multidimensional Assessment of Interoceptive Awareness, Version 2 (MAIA-2; 24 items) online; MAIA-2 was administered outside of PsychoPy and was not part of the in-laboratory task. On the day of testing, caffeine intake and smoking within the preceding [time window] were recorded as covariates. All participants provided written informed consent, and the protocol was approved by the [Institution] Institutional Review Board ([protocol number]).</w:t>
      </w:r>
    </w:p>
    <w:p>
      <w:pPr>
        <w:pStyle w:val="Heading2"/>
      </w:pPr>
      <w:r>
        <w:t>Apparatus and Materials</w:t>
      </w:r>
    </w:p>
    <w:p>
      <w:r>
        <w:rPr>
          <w:b w:val="0"/>
          <w:i w:val="0"/>
        </w:rPr>
        <w:t>The task ran on a Windows 11 PC under PsychoPy 2026.1.3 (Builder), with the PsychToolbox (PTB) audio backend and forced-stereo output. Visual stimuli were presented on a [size]-inch monitor (1280 × 720 px; height units; black background; cursor hidden). False cardiac feedback was generated by a lightweight fixed-rate engine (biofeedback_inline) that scheduled "beats" at a commanded rate (inter-beat interval = 60 / BPM s) independently of the participant’s true heart rate; no photoplethysmography or other live cardiac signal was used during the task. In the auditory version, a pre-recorded human heartbeat sound (heartbeat.mp3) was played on each scheduled beat. In the visual version, a centrally presented red heart pulsed once per scheduled beat (a brief scale increase followed by exponential decay; custom ecg_renderer module). Tactile cardiac information was provided by the participant’s own radial pulse (see Procedure).</w:t>
      </w:r>
    </w:p>
    <w:p>
      <w:r>
        <w:rPr>
          <w:b w:val="0"/>
          <w:i w:val="0"/>
        </w:rPr>
        <w:t>Hemodynamic activity was recorded with a NIRSIT-Lite (OBELAB) portable continuous-wave functional near-infrared spectroscopy (fNIRS) system ([wavelengths] nm; [sampling rate] Hz; [number] channels). Optodes were positioned over the ventromedial prefrontal cortex (vmPFC) and orbitofrontal cortex (OFC) using [montage/cap reference]. Resting heart rate was measured with a wrist-worn smartwatch ([model]).</w:t>
      </w:r>
    </w:p>
    <w:p>
      <w:pPr>
        <w:pStyle w:val="Heading2"/>
      </w:pPr>
      <w:r>
        <w:t>False Cardiac Feedback Stimuli</w:t>
      </w:r>
    </w:p>
    <w:p>
      <w:r>
        <w:rPr>
          <w:b w:val="0"/>
          <w:i w:val="0"/>
        </w:rPr>
        <w:t>The central manipulation was false cardiac feedback (FCF): while continuously palpating their own radial pulse with a fingertip (a veridical tactile reference), participants received a heartbeat at a fixed, experimenter-defined rate through a single modality (auditory or visual). Because the feedback rate was specified in absolute beats per minute (BPM) and was decoupled from the participant’s actual heart rate, the feedback produced graded degrees of cardio-afferent discordance. Five feedback rates were defined relative to a 70-BPM standard (Table 1): C1 = 53 BPM (−25%), C2 = 60 BPM (−15%), C3 = 70 BPM (0%; standard), C4 = 81 BPM (+15%), and C5 = 88 BPM (+25%). C4 and C5 are designated acceleration conditions (feedback faster than the standard).</w:t>
      </w:r>
    </w:p>
    <w:p>
      <w:r>
        <w:rPr>
          <w:b/>
          <w:i w:val="0"/>
        </w:rPr>
        <w:t>Table 1</w:t>
      </w:r>
    </w:p>
    <w:p>
      <w:r>
        <w:rPr>
          <w:b w:val="0"/>
          <w:i/>
          <w:sz w:val="18"/>
        </w:rPr>
        <w:t>Five fixed-rate false cardiac feedback conditions.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fill="D9E2F3"/>
          </w:tcPr>
          <w:p>
            <w:r/>
            <w:r>
              <w:rPr>
                <w:rFonts w:ascii="Times New Roman" w:hAnsi="Times New Roman"/>
                <w:b/>
                <w:sz w:val="20"/>
              </w:rPr>
              <w:t>Condition</w:t>
            </w:r>
          </w:p>
        </w:tc>
        <w:tc>
          <w:tcPr>
            <w:tcW w:type="dxa" w:w="1728"/>
            <w:shd w:val="clear" w:fill="D9E2F3"/>
          </w:tcPr>
          <w:p>
            <w:r/>
            <w:r>
              <w:rPr>
                <w:rFonts w:ascii="Times New Roman" w:hAnsi="Times New Roman"/>
                <w:b/>
                <w:sz w:val="20"/>
              </w:rPr>
              <w:t>Marker label</w:t>
            </w:r>
          </w:p>
        </w:tc>
        <w:tc>
          <w:tcPr>
            <w:tcW w:type="dxa" w:w="2160"/>
            <w:shd w:val="clear" w:fill="D9E2F3"/>
          </w:tcPr>
          <w:p>
            <w:r/>
            <w:r>
              <w:rPr>
                <w:rFonts w:ascii="Times New Roman" w:hAnsi="Times New Roman"/>
                <w:b/>
                <w:sz w:val="20"/>
              </w:rPr>
              <w:t>Target rate (BPM)</w:t>
            </w:r>
          </w:p>
        </w:tc>
        <w:tc>
          <w:tcPr>
            <w:tcW w:type="dxa" w:w="2448"/>
            <w:shd w:val="clear" w:fill="D9E2F3"/>
          </w:tcPr>
          <w:p>
            <w:r/>
            <w:r>
              <w:rPr>
                <w:rFonts w:ascii="Times New Roman" w:hAnsi="Times New Roman"/>
                <w:b/>
                <w:sz w:val="20"/>
              </w:rPr>
              <w:t>Deviation from standard</w:t>
            </w:r>
          </w:p>
        </w:tc>
        <w:tc>
          <w:tcPr>
            <w:tcW w:type="dxa" w:w="2016"/>
            <w:shd w:val="clear" w:fill="D9E2F3"/>
          </w:tcPr>
          <w:p>
            <w:r/>
            <w:r>
              <w:rPr>
                <w:rFonts w:ascii="Times New Roman" w:hAnsi="Times New Roman"/>
                <w:b/>
                <w:sz w:val="20"/>
              </w:rPr>
              <w:t>Type</w:t>
            </w:r>
          </w:p>
        </w:tc>
      </w:tr>
      <w:tr>
        <w:tc>
          <w:tcPr>
            <w:tcW w:type="dxa" w:w="1440"/>
          </w:tcPr>
          <w:p>
            <w:r/>
            <w:r>
              <w:rPr>
                <w:rFonts w:ascii="Times New Roman" w:hAnsi="Times New Roman"/>
                <w:sz w:val="20"/>
              </w:rPr>
              <w:t>C1</w:t>
            </w:r>
          </w:p>
        </w:tc>
        <w:tc>
          <w:tcPr>
            <w:tcW w:type="dxa" w:w="1728"/>
          </w:tcPr>
          <w:p>
            <w:r/>
            <w:r>
              <w:rPr>
                <w:rFonts w:ascii="Times New Roman" w:hAnsi="Times New Roman"/>
                <w:sz w:val="20"/>
              </w:rPr>
              <w:t>C1_53</w:t>
            </w:r>
          </w:p>
        </w:tc>
        <w:tc>
          <w:tcPr>
            <w:tcW w:type="dxa" w:w="2160"/>
          </w:tcPr>
          <w:p>
            <w:r/>
            <w:r>
              <w:rPr>
                <w:rFonts w:ascii="Times New Roman" w:hAnsi="Times New Roman"/>
                <w:sz w:val="20"/>
              </w:rPr>
              <w:t>53</w:t>
            </w:r>
          </w:p>
        </w:tc>
        <w:tc>
          <w:tcPr>
            <w:tcW w:type="dxa" w:w="2448"/>
          </w:tcPr>
          <w:p>
            <w:r/>
            <w:r>
              <w:rPr>
                <w:rFonts w:ascii="Times New Roman" w:hAnsi="Times New Roman"/>
                <w:sz w:val="20"/>
              </w:rPr>
              <w:t>−25%</w:t>
            </w:r>
          </w:p>
        </w:tc>
        <w:tc>
          <w:tcPr>
            <w:tcW w:type="dxa" w:w="2016"/>
          </w:tcPr>
          <w:p>
            <w:r/>
            <w:r>
              <w:rPr>
                <w:rFonts w:ascii="Times New Roman" w:hAnsi="Times New Roman"/>
                <w:sz w:val="20"/>
              </w:rPr>
              <w:t>Deceleration</w:t>
            </w:r>
          </w:p>
        </w:tc>
      </w:tr>
      <w:tr>
        <w:tc>
          <w:tcPr>
            <w:tcW w:type="dxa" w:w="1440"/>
          </w:tcPr>
          <w:p>
            <w:r/>
            <w:r>
              <w:rPr>
                <w:rFonts w:ascii="Times New Roman" w:hAnsi="Times New Roman"/>
                <w:sz w:val="20"/>
              </w:rPr>
              <w:t>C2</w:t>
            </w:r>
          </w:p>
        </w:tc>
        <w:tc>
          <w:tcPr>
            <w:tcW w:type="dxa" w:w="1728"/>
          </w:tcPr>
          <w:p>
            <w:r/>
            <w:r>
              <w:rPr>
                <w:rFonts w:ascii="Times New Roman" w:hAnsi="Times New Roman"/>
                <w:sz w:val="20"/>
              </w:rPr>
              <w:t>C2_60</w:t>
            </w:r>
          </w:p>
        </w:tc>
        <w:tc>
          <w:tcPr>
            <w:tcW w:type="dxa" w:w="2160"/>
          </w:tcPr>
          <w:p>
            <w:r/>
            <w:r>
              <w:rPr>
                <w:rFonts w:ascii="Times New Roman" w:hAnsi="Times New Roman"/>
                <w:sz w:val="20"/>
              </w:rPr>
              <w:t>60</w:t>
            </w:r>
          </w:p>
        </w:tc>
        <w:tc>
          <w:tcPr>
            <w:tcW w:type="dxa" w:w="2448"/>
          </w:tcPr>
          <w:p>
            <w:r/>
            <w:r>
              <w:rPr>
                <w:rFonts w:ascii="Times New Roman" w:hAnsi="Times New Roman"/>
                <w:sz w:val="20"/>
              </w:rPr>
              <w:t>−15%</w:t>
            </w:r>
          </w:p>
        </w:tc>
        <w:tc>
          <w:tcPr>
            <w:tcW w:type="dxa" w:w="2016"/>
          </w:tcPr>
          <w:p>
            <w:r/>
            <w:r>
              <w:rPr>
                <w:rFonts w:ascii="Times New Roman" w:hAnsi="Times New Roman"/>
                <w:sz w:val="20"/>
              </w:rPr>
              <w:t>Deceleration</w:t>
            </w:r>
          </w:p>
        </w:tc>
      </w:tr>
      <w:tr>
        <w:tc>
          <w:tcPr>
            <w:tcW w:type="dxa" w:w="1440"/>
          </w:tcPr>
          <w:p>
            <w:r/>
            <w:r>
              <w:rPr>
                <w:rFonts w:ascii="Times New Roman" w:hAnsi="Times New Roman"/>
                <w:sz w:val="20"/>
              </w:rPr>
              <w:t>C3</w:t>
            </w:r>
          </w:p>
        </w:tc>
        <w:tc>
          <w:tcPr>
            <w:tcW w:type="dxa" w:w="1728"/>
          </w:tcPr>
          <w:p>
            <w:r/>
            <w:r>
              <w:rPr>
                <w:rFonts w:ascii="Times New Roman" w:hAnsi="Times New Roman"/>
                <w:sz w:val="20"/>
              </w:rPr>
              <w:t>C3_70</w:t>
            </w:r>
          </w:p>
        </w:tc>
        <w:tc>
          <w:tcPr>
            <w:tcW w:type="dxa" w:w="2160"/>
          </w:tcPr>
          <w:p>
            <w:r/>
            <w:r>
              <w:rPr>
                <w:rFonts w:ascii="Times New Roman" w:hAnsi="Times New Roman"/>
                <w:sz w:val="20"/>
              </w:rPr>
              <w:t>70</w:t>
            </w:r>
          </w:p>
        </w:tc>
        <w:tc>
          <w:tcPr>
            <w:tcW w:type="dxa" w:w="2448"/>
          </w:tcPr>
          <w:p>
            <w:r/>
            <w:r>
              <w:rPr>
                <w:rFonts w:ascii="Times New Roman" w:hAnsi="Times New Roman"/>
                <w:sz w:val="20"/>
              </w:rPr>
              <w:t>0% (standard)</w:t>
            </w:r>
          </w:p>
        </w:tc>
        <w:tc>
          <w:tcPr>
            <w:tcW w:type="dxa" w:w="2016"/>
          </w:tcPr>
          <w:p>
            <w:r/>
            <w:r>
              <w:rPr>
                <w:rFonts w:ascii="Times New Roman" w:hAnsi="Times New Roman"/>
                <w:sz w:val="20"/>
              </w:rPr>
              <w:t>Veridical-range</w:t>
            </w:r>
          </w:p>
        </w:tc>
      </w:tr>
      <w:tr>
        <w:tc>
          <w:tcPr>
            <w:tcW w:type="dxa" w:w="1440"/>
          </w:tcPr>
          <w:p>
            <w:r/>
            <w:r>
              <w:rPr>
                <w:rFonts w:ascii="Times New Roman" w:hAnsi="Times New Roman"/>
                <w:sz w:val="20"/>
              </w:rPr>
              <w:t>C4</w:t>
            </w:r>
          </w:p>
        </w:tc>
        <w:tc>
          <w:tcPr>
            <w:tcW w:type="dxa" w:w="1728"/>
          </w:tcPr>
          <w:p>
            <w:r/>
            <w:r>
              <w:rPr>
                <w:rFonts w:ascii="Times New Roman" w:hAnsi="Times New Roman"/>
                <w:sz w:val="20"/>
              </w:rPr>
              <w:t>C4_81</w:t>
            </w:r>
          </w:p>
        </w:tc>
        <w:tc>
          <w:tcPr>
            <w:tcW w:type="dxa" w:w="2160"/>
          </w:tcPr>
          <w:p>
            <w:r/>
            <w:r>
              <w:rPr>
                <w:rFonts w:ascii="Times New Roman" w:hAnsi="Times New Roman"/>
                <w:sz w:val="20"/>
              </w:rPr>
              <w:t>81</w:t>
            </w:r>
          </w:p>
        </w:tc>
        <w:tc>
          <w:tcPr>
            <w:tcW w:type="dxa" w:w="2448"/>
          </w:tcPr>
          <w:p>
            <w:r/>
            <w:r>
              <w:rPr>
                <w:rFonts w:ascii="Times New Roman" w:hAnsi="Times New Roman"/>
                <w:sz w:val="20"/>
              </w:rPr>
              <w:t>+15%</w:t>
            </w:r>
          </w:p>
        </w:tc>
        <w:tc>
          <w:tcPr>
            <w:tcW w:type="dxa" w:w="2016"/>
          </w:tcPr>
          <w:p>
            <w:r/>
            <w:r>
              <w:rPr>
                <w:rFonts w:ascii="Times New Roman" w:hAnsi="Times New Roman"/>
                <w:sz w:val="20"/>
              </w:rPr>
              <w:t>Acceleration</w:t>
            </w:r>
          </w:p>
        </w:tc>
      </w:tr>
      <w:tr>
        <w:tc>
          <w:tcPr>
            <w:tcW w:type="dxa" w:w="1440"/>
          </w:tcPr>
          <w:p>
            <w:r/>
            <w:r>
              <w:rPr>
                <w:rFonts w:ascii="Times New Roman" w:hAnsi="Times New Roman"/>
                <w:sz w:val="20"/>
              </w:rPr>
              <w:t>C5</w:t>
            </w:r>
          </w:p>
        </w:tc>
        <w:tc>
          <w:tcPr>
            <w:tcW w:type="dxa" w:w="1728"/>
          </w:tcPr>
          <w:p>
            <w:r/>
            <w:r>
              <w:rPr>
                <w:rFonts w:ascii="Times New Roman" w:hAnsi="Times New Roman"/>
                <w:sz w:val="20"/>
              </w:rPr>
              <w:t>C5_88</w:t>
            </w:r>
          </w:p>
        </w:tc>
        <w:tc>
          <w:tcPr>
            <w:tcW w:type="dxa" w:w="2160"/>
          </w:tcPr>
          <w:p>
            <w:r/>
            <w:r>
              <w:rPr>
                <w:rFonts w:ascii="Times New Roman" w:hAnsi="Times New Roman"/>
                <w:sz w:val="20"/>
              </w:rPr>
              <w:t>88</w:t>
            </w:r>
          </w:p>
        </w:tc>
        <w:tc>
          <w:tcPr>
            <w:tcW w:type="dxa" w:w="2448"/>
          </w:tcPr>
          <w:p>
            <w:r/>
            <w:r>
              <w:rPr>
                <w:rFonts w:ascii="Times New Roman" w:hAnsi="Times New Roman"/>
                <w:sz w:val="20"/>
              </w:rPr>
              <w:t>+25%</w:t>
            </w:r>
          </w:p>
        </w:tc>
        <w:tc>
          <w:tcPr>
            <w:tcW w:type="dxa" w:w="2016"/>
          </w:tcPr>
          <w:p>
            <w:r/>
            <w:r>
              <w:rPr>
                <w:rFonts w:ascii="Times New Roman" w:hAnsi="Times New Roman"/>
                <w:sz w:val="20"/>
              </w:rPr>
              <w:t>Acceleration</w:t>
            </w:r>
          </w:p>
        </w:tc>
      </w:tr>
    </w:tbl>
    <w:p/>
    <w:p>
      <w:pPr>
        <w:pStyle w:val="Heading2"/>
      </w:pPr>
      <w:r>
        <w:t>Experimental Design</w:t>
      </w:r>
    </w:p>
    <w:p>
      <w:r>
        <w:rPr>
          <w:b w:val="0"/>
          <w:i w:val="0"/>
        </w:rPr>
        <w:t>Feedback rate was manipulated within participants. Each of the five conditions was presented twice, yielding 10 experimental blocks per participant. Feedback modality (auditory vs. visual) was administered as two separate versions of the task; modality was fixed within a session and [counterbalanced across participants / run as separate sessions]. For each participant, the order of the 10 blocks was pseudo-randomized with a seed derived from the participant number (ensuring a reproducible order), under the constraint that no two acceleration blocks (C4 or C5) occurred consecutively. The realized block order was stored with the data (block_order).</w:t>
      </w:r>
    </w:p>
    <w:p>
      <w:r>
        <w:rPr>
          <w:b w:val="0"/>
          <w:i w:val="0"/>
        </w:rPr>
        <w:t xml:space="preserve">The primary perceptual independent variable was derived from perceived cardiac similarity (Q1; see Procedure). Q1 ratings were dichotomized as </w:t>
      </w:r>
      <w:r>
        <w:rPr>
          <w:b w:val="0"/>
          <w:i/>
        </w:rPr>
        <w:t>discordant</w:t>
      </w:r>
      <w:r>
        <w:rPr>
          <w:b w:val="0"/>
          <w:i w:val="0"/>
        </w:rPr>
        <w:t xml:space="preserve"> (Q1 ≤ 3) or </w:t>
      </w:r>
      <w:r>
        <w:rPr>
          <w:b w:val="0"/>
          <w:i/>
        </w:rPr>
        <w:t>matched</w:t>
      </w:r>
      <w:r>
        <w:rPr>
          <w:b w:val="0"/>
          <w:i w:val="0"/>
        </w:rPr>
        <w:t xml:space="preserve"> (Q1 ≥ 5); trials with Q1 = 4 were treated as ambiguous and excluded from the dichotomous analysis (recorded as Q1_class).</w:t>
      </w:r>
    </w:p>
    <w:p>
      <w:r>
        <w:rPr>
          <w:b w:val="0"/>
          <w:i w:val="0"/>
        </w:rPr>
        <w:t>The primary dependent variables were fNIRS-derived oxyhemoglobin (HbO) and deoxyhemoglobin (HbR) concentration changes in vmPFC and OFC. Behavioral dependent variables were the comfort, discomfort, and credibility ratings (Q2–Q4) and their response times. Resting heart rate, feedback modality, caffeine, smoking, age, sex, and MAIA-2 scores were treated as covariates.</w:t>
      </w:r>
    </w:p>
    <w:p>
      <w:pPr>
        <w:pStyle w:val="Heading2"/>
      </w:pPr>
      <w:r>
        <w:t>Procedure</w:t>
      </w:r>
    </w:p>
    <w:p>
      <w:r>
        <w:rPr>
          <w:b w:val="0"/>
          <w:i w:val="0"/>
        </w:rPr>
        <w:t>On arrival, participants provided consent, and age, sex, caffeine, and smoking status were recorded. Resting heart rate was then measured for approximately 1 min with the smartwatch while the participant sat quietly (BaselineBPM routine: a 60-s on-screen timer); the experimenter typed the measured value into the program, which stored it as a covariate (baseline_bpm). The fNIRS probe was fitted and signal quality verified.</w:t>
      </w:r>
    </w:p>
    <w:p>
      <w:r>
        <w:rPr>
          <w:b w:val="0"/>
          <w:i w:val="0"/>
        </w:rPr>
        <w:t>Participants were instructed to rest one fingertip lightly on the radial pulse of the opposite wrist and to maintain this posture for the entire task, comparing the heard (auditory version) or seen (visual version) heartbeat to their own pulse. The session then proceeded through the following phases (Table 2):</w:t>
      </w:r>
    </w:p>
    <w:p>
      <w:r>
        <w:rPr>
          <w:b/>
          <w:i w:val="0"/>
        </w:rPr>
        <w:t>Baseline (120 s).</w:t>
      </w:r>
    </w:p>
    <w:p>
      <w:r>
        <w:rPr>
          <w:b w:val="0"/>
          <w:i w:val="0"/>
        </w:rPr>
        <w:t>Participants palpated their pulse while fixating a central cross, with no feedback. Onset of this phase anchored the fNIRS event timeline (t = 0).</w:t>
      </w:r>
    </w:p>
    <w:p>
      <w:r>
        <w:rPr>
          <w:b/>
          <w:i w:val="0"/>
        </w:rPr>
        <w:t>Practice (30 s).</w:t>
      </w:r>
    </w:p>
    <w:p>
      <w:r>
        <w:rPr>
          <w:b w:val="0"/>
          <w:i w:val="0"/>
        </w:rPr>
        <w:t>A single familiarization trial presented feedback at 70 BPM in the assigned modality while participants palpated their pulse.</w:t>
      </w:r>
    </w:p>
    <w:p>
      <w:r>
        <w:rPr>
          <w:b/>
          <w:i w:val="0"/>
        </w:rPr>
        <w:t>Main task (10 blocks, ~10–11 min).</w:t>
      </w:r>
    </w:p>
    <w:p>
      <w:r>
        <w:rPr>
          <w:b w:val="0"/>
          <w:i w:val="0"/>
        </w:rPr>
        <w:t>Each block comprised three successive phases:</w:t>
      </w:r>
    </w:p>
    <w:p>
      <w:pPr>
        <w:pStyle w:val="ListBullet"/>
      </w:pPr>
      <w:r>
        <w:t>Stimulus (30 s): the fixed-rate heartbeat for that block’s condition was presented in the assigned modality while the participant palpated the radial pulse. A small status line indicated block index (e.g., [3/10]).</w:t>
      </w:r>
    </w:p>
    <w:p>
      <w:pPr>
        <w:pStyle w:val="ListBullet"/>
      </w:pPr>
      <w:r>
        <w:t>Assessment (up to 20 s): feedback was turned off and three questions were presented one at a time, each answered with a single key press (1–7). Q1 assessed perceived similarity between the presented heartbeat and the participant’s own pulse (1 = not at all similar, 7 = highly similar); Q2 assessed comfort (1 = not at all comfortable, 7 = very comfortable); Q3 assessed discomfort (1 = not at all uncomfortable, 7 = very uncomfortable). The phase ended when all three items were answered or at the 20-s limit. Responses and response times were recorded for each item.</w:t>
      </w:r>
    </w:p>
    <w:p>
      <w:pPr>
        <w:pStyle w:val="ListBullet"/>
      </w:pPr>
      <w:r>
        <w:t>Rest (10 ± 2 s): a central fixation cross was shown for a jittered interval drawn uniformly from 8–12 s (recorded as rest_dur).</w:t>
      </w:r>
    </w:p>
    <w:p>
      <w:r>
        <w:rPr>
          <w:b/>
          <w:i w:val="0"/>
        </w:rPr>
        <w:t>Exit survey and debriefing.</w:t>
      </w:r>
    </w:p>
    <w:p>
      <w:r>
        <w:rPr>
          <w:b w:val="0"/>
          <w:i w:val="0"/>
        </w:rPr>
        <w:t>After the final block, a manipulation-check / credibility item (Q4) was presented and answered on a 1–7 key: "To what extent did you believe that the heartbeat presented in this experiment was your own?" (1 = did not believe at all, 7 = completely believed; recorded as Q4_credibility). Participants were then fully debriefed about the false feedback manipulation.</w:t>
      </w:r>
    </w:p>
    <w:p>
      <w:r>
        <w:rPr>
          <w:b/>
          <w:i w:val="0"/>
        </w:rPr>
        <w:t>Table 2</w:t>
      </w:r>
    </w:p>
    <w:p>
      <w:r>
        <w:rPr>
          <w:b w:val="0"/>
          <w:i/>
          <w:sz w:val="18"/>
        </w:rPr>
        <w:t>Phase structure and timing of a single session.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fill="D9E2F3"/>
          </w:tcPr>
          <w:p>
            <w:r/>
            <w:r>
              <w:rPr>
                <w:rFonts w:ascii="Times New Roman" w:hAnsi="Times New Roman"/>
                <w:b/>
                <w:sz w:val="20"/>
              </w:rPr>
              <w:t>Phase</w:t>
            </w:r>
          </w:p>
        </w:tc>
        <w:tc>
          <w:tcPr>
            <w:tcW w:type="dxa" w:w="2016"/>
            <w:shd w:val="clear" w:fill="D9E2F3"/>
          </w:tcPr>
          <w:p>
            <w:r/>
            <w:r>
              <w:rPr>
                <w:rFonts w:ascii="Times New Roman" w:hAnsi="Times New Roman"/>
                <w:b/>
                <w:sz w:val="20"/>
              </w:rPr>
              <w:t>Duration</w:t>
            </w:r>
          </w:p>
        </w:tc>
        <w:tc>
          <w:tcPr>
            <w:tcW w:type="dxa" w:w="1440"/>
            <w:shd w:val="clear" w:fill="D9E2F3"/>
          </w:tcPr>
          <w:p>
            <w:r/>
            <w:r>
              <w:rPr>
                <w:rFonts w:ascii="Times New Roman" w:hAnsi="Times New Roman"/>
                <w:b/>
                <w:sz w:val="20"/>
              </w:rPr>
              <w:t>Feedback</w:t>
            </w:r>
          </w:p>
        </w:tc>
        <w:tc>
          <w:tcPr>
            <w:tcW w:type="dxa" w:w="1008"/>
            <w:shd w:val="clear" w:fill="D9E2F3"/>
          </w:tcPr>
          <w:p>
            <w:r/>
            <w:r>
              <w:rPr>
                <w:rFonts w:ascii="Times New Roman" w:hAnsi="Times New Roman"/>
                <w:b/>
                <w:sz w:val="20"/>
              </w:rPr>
              <w:t>Repeats</w:t>
            </w:r>
          </w:p>
        </w:tc>
        <w:tc>
          <w:tcPr>
            <w:tcW w:type="dxa" w:w="3168"/>
            <w:shd w:val="clear" w:fill="D9E2F3"/>
          </w:tcPr>
          <w:p>
            <w:r/>
            <w:r>
              <w:rPr>
                <w:rFonts w:ascii="Times New Roman" w:hAnsi="Times New Roman"/>
                <w:b/>
                <w:sz w:val="20"/>
              </w:rPr>
              <w:t>Notes</w:t>
            </w:r>
          </w:p>
        </w:tc>
      </w:tr>
      <w:tr>
        <w:tc>
          <w:tcPr>
            <w:tcW w:type="dxa" w:w="2160"/>
          </w:tcPr>
          <w:p>
            <w:r/>
            <w:r>
              <w:rPr>
                <w:rFonts w:ascii="Times New Roman" w:hAnsi="Times New Roman"/>
                <w:sz w:val="20"/>
              </w:rPr>
              <w:t>Resting-HR measurement</w:t>
            </w:r>
          </w:p>
        </w:tc>
        <w:tc>
          <w:tcPr>
            <w:tcW w:type="dxa" w:w="2016"/>
          </w:tcPr>
          <w:p>
            <w:r/>
            <w:r>
              <w:rPr>
                <w:rFonts w:ascii="Times New Roman" w:hAnsi="Times New Roman"/>
                <w:sz w:val="20"/>
              </w:rPr>
              <w:t>60 s + manual entry</w:t>
            </w:r>
          </w:p>
        </w:tc>
        <w:tc>
          <w:tcPr>
            <w:tcW w:type="dxa" w:w="1440"/>
          </w:tcPr>
          <w:p>
            <w:r/>
            <w:r>
              <w:rPr>
                <w:rFonts w:ascii="Times New Roman" w:hAnsi="Times New Roman"/>
                <w:sz w:val="20"/>
              </w:rPr>
              <w:t>None</w:t>
            </w:r>
          </w:p>
        </w:tc>
        <w:tc>
          <w:tcPr>
            <w:tcW w:type="dxa" w:w="1008"/>
          </w:tcPr>
          <w:p>
            <w:r/>
            <w:r>
              <w:rPr>
                <w:rFonts w:ascii="Times New Roman" w:hAnsi="Times New Roman"/>
                <w:sz w:val="20"/>
              </w:rPr>
              <w:t>1</w:t>
            </w:r>
          </w:p>
        </w:tc>
        <w:tc>
          <w:tcPr>
            <w:tcW w:type="dxa" w:w="3168"/>
          </w:tcPr>
          <w:p>
            <w:r/>
            <w:r>
              <w:rPr>
                <w:rFonts w:ascii="Times New Roman" w:hAnsi="Times New Roman"/>
                <w:sz w:val="20"/>
              </w:rPr>
              <w:t>Smartwatch; covariate</w:t>
            </w:r>
          </w:p>
        </w:tc>
      </w:tr>
      <w:tr>
        <w:tc>
          <w:tcPr>
            <w:tcW w:type="dxa" w:w="2160"/>
          </w:tcPr>
          <w:p>
            <w:r/>
            <w:r>
              <w:rPr>
                <w:rFonts w:ascii="Times New Roman" w:hAnsi="Times New Roman"/>
                <w:sz w:val="20"/>
              </w:rPr>
              <w:t>Baseline</w:t>
            </w:r>
          </w:p>
        </w:tc>
        <w:tc>
          <w:tcPr>
            <w:tcW w:type="dxa" w:w="2016"/>
          </w:tcPr>
          <w:p>
            <w:r/>
            <w:r>
              <w:rPr>
                <w:rFonts w:ascii="Times New Roman" w:hAnsi="Times New Roman"/>
                <w:sz w:val="20"/>
              </w:rPr>
              <w:t>120 s</w:t>
            </w:r>
          </w:p>
        </w:tc>
        <w:tc>
          <w:tcPr>
            <w:tcW w:type="dxa" w:w="1440"/>
          </w:tcPr>
          <w:p>
            <w:r/>
            <w:r>
              <w:rPr>
                <w:rFonts w:ascii="Times New Roman" w:hAnsi="Times New Roman"/>
                <w:sz w:val="20"/>
              </w:rPr>
              <w:t>None</w:t>
            </w:r>
          </w:p>
        </w:tc>
        <w:tc>
          <w:tcPr>
            <w:tcW w:type="dxa" w:w="1008"/>
          </w:tcPr>
          <w:p>
            <w:r/>
            <w:r>
              <w:rPr>
                <w:rFonts w:ascii="Times New Roman" w:hAnsi="Times New Roman"/>
                <w:sz w:val="20"/>
              </w:rPr>
              <w:t>1</w:t>
            </w:r>
          </w:p>
        </w:tc>
        <w:tc>
          <w:tcPr>
            <w:tcW w:type="dxa" w:w="3168"/>
          </w:tcPr>
          <w:p>
            <w:r/>
            <w:r>
              <w:rPr>
                <w:rFonts w:ascii="Times New Roman" w:hAnsi="Times New Roman"/>
                <w:sz w:val="20"/>
              </w:rPr>
              <w:t>Pulse palpation + fixation; t = 0 anchor</w:t>
            </w:r>
          </w:p>
        </w:tc>
      </w:tr>
      <w:tr>
        <w:tc>
          <w:tcPr>
            <w:tcW w:type="dxa" w:w="2160"/>
          </w:tcPr>
          <w:p>
            <w:r/>
            <w:r>
              <w:rPr>
                <w:rFonts w:ascii="Times New Roman" w:hAnsi="Times New Roman"/>
                <w:sz w:val="20"/>
              </w:rPr>
              <w:t>Practice</w:t>
            </w:r>
          </w:p>
        </w:tc>
        <w:tc>
          <w:tcPr>
            <w:tcW w:type="dxa" w:w="2016"/>
          </w:tcPr>
          <w:p>
            <w:r/>
            <w:r>
              <w:rPr>
                <w:rFonts w:ascii="Times New Roman" w:hAnsi="Times New Roman"/>
                <w:sz w:val="20"/>
              </w:rPr>
              <w:t>30 s</w:t>
            </w:r>
          </w:p>
        </w:tc>
        <w:tc>
          <w:tcPr>
            <w:tcW w:type="dxa" w:w="1440"/>
          </w:tcPr>
          <w:p>
            <w:r/>
            <w:r>
              <w:rPr>
                <w:rFonts w:ascii="Times New Roman" w:hAnsi="Times New Roman"/>
                <w:sz w:val="20"/>
              </w:rPr>
              <w:t>70 BPM</w:t>
            </w:r>
          </w:p>
        </w:tc>
        <w:tc>
          <w:tcPr>
            <w:tcW w:type="dxa" w:w="1008"/>
          </w:tcPr>
          <w:p>
            <w:r/>
            <w:r>
              <w:rPr>
                <w:rFonts w:ascii="Times New Roman" w:hAnsi="Times New Roman"/>
                <w:sz w:val="20"/>
              </w:rPr>
              <w:t>1</w:t>
            </w:r>
          </w:p>
        </w:tc>
        <w:tc>
          <w:tcPr>
            <w:tcW w:type="dxa" w:w="3168"/>
          </w:tcPr>
          <w:p>
            <w:r/>
            <w:r>
              <w:rPr>
                <w:rFonts w:ascii="Times New Roman" w:hAnsi="Times New Roman"/>
                <w:sz w:val="20"/>
              </w:rPr>
              <w:t>Familiarization</w:t>
            </w:r>
          </w:p>
        </w:tc>
      </w:tr>
      <w:tr>
        <w:tc>
          <w:tcPr>
            <w:tcW w:type="dxa" w:w="2160"/>
          </w:tcPr>
          <w:p>
            <w:r/>
            <w:r>
              <w:rPr>
                <w:rFonts w:ascii="Times New Roman" w:hAnsi="Times New Roman"/>
                <w:sz w:val="20"/>
              </w:rPr>
              <w:t>Stimulus</w:t>
            </w:r>
          </w:p>
        </w:tc>
        <w:tc>
          <w:tcPr>
            <w:tcW w:type="dxa" w:w="2016"/>
          </w:tcPr>
          <w:p>
            <w:r/>
            <w:r>
              <w:rPr>
                <w:rFonts w:ascii="Times New Roman" w:hAnsi="Times New Roman"/>
                <w:sz w:val="20"/>
              </w:rPr>
              <w:t>30 s</w:t>
            </w:r>
          </w:p>
        </w:tc>
        <w:tc>
          <w:tcPr>
            <w:tcW w:type="dxa" w:w="1440"/>
          </w:tcPr>
          <w:p>
            <w:r/>
            <w:r>
              <w:rPr>
                <w:rFonts w:ascii="Times New Roman" w:hAnsi="Times New Roman"/>
                <w:sz w:val="20"/>
              </w:rPr>
              <w:t>Condition BPM</w:t>
            </w:r>
          </w:p>
        </w:tc>
        <w:tc>
          <w:tcPr>
            <w:tcW w:type="dxa" w:w="1008"/>
          </w:tcPr>
          <w:p>
            <w:r/>
            <w:r>
              <w:rPr>
                <w:rFonts w:ascii="Times New Roman" w:hAnsi="Times New Roman"/>
                <w:sz w:val="20"/>
              </w:rPr>
              <w:t>10</w:t>
            </w:r>
          </w:p>
        </w:tc>
        <w:tc>
          <w:tcPr>
            <w:tcW w:type="dxa" w:w="3168"/>
          </w:tcPr>
          <w:p>
            <w:r/>
            <w:r>
              <w:rPr>
                <w:rFonts w:ascii="Times New Roman" w:hAnsi="Times New Roman"/>
                <w:sz w:val="20"/>
              </w:rPr>
              <w:t>Palpation + auditory/visual heartbeat</w:t>
            </w:r>
          </w:p>
        </w:tc>
      </w:tr>
      <w:tr>
        <w:tc>
          <w:tcPr>
            <w:tcW w:type="dxa" w:w="2160"/>
          </w:tcPr>
          <w:p>
            <w:r/>
            <w:r>
              <w:rPr>
                <w:rFonts w:ascii="Times New Roman" w:hAnsi="Times New Roman"/>
                <w:sz w:val="20"/>
              </w:rPr>
              <w:t>Assessment</w:t>
            </w:r>
          </w:p>
        </w:tc>
        <w:tc>
          <w:tcPr>
            <w:tcW w:type="dxa" w:w="2016"/>
          </w:tcPr>
          <w:p>
            <w:r/>
            <w:r>
              <w:rPr>
                <w:rFonts w:ascii="Times New Roman" w:hAnsi="Times New Roman"/>
                <w:sz w:val="20"/>
              </w:rPr>
              <w:t>≤ 20 s</w:t>
            </w:r>
          </w:p>
        </w:tc>
        <w:tc>
          <w:tcPr>
            <w:tcW w:type="dxa" w:w="1440"/>
          </w:tcPr>
          <w:p>
            <w:r/>
            <w:r>
              <w:rPr>
                <w:rFonts w:ascii="Times New Roman" w:hAnsi="Times New Roman"/>
                <w:sz w:val="20"/>
              </w:rPr>
              <w:t>None</w:t>
            </w:r>
          </w:p>
        </w:tc>
        <w:tc>
          <w:tcPr>
            <w:tcW w:type="dxa" w:w="1008"/>
          </w:tcPr>
          <w:p>
            <w:r/>
            <w:r>
              <w:rPr>
                <w:rFonts w:ascii="Times New Roman" w:hAnsi="Times New Roman"/>
                <w:sz w:val="20"/>
              </w:rPr>
              <w:t>10</w:t>
            </w:r>
          </w:p>
        </w:tc>
        <w:tc>
          <w:tcPr>
            <w:tcW w:type="dxa" w:w="3168"/>
          </w:tcPr>
          <w:p>
            <w:r/>
            <w:r>
              <w:rPr>
                <w:rFonts w:ascii="Times New Roman" w:hAnsi="Times New Roman"/>
                <w:sz w:val="20"/>
              </w:rPr>
              <w:t>Q1–Q3, keys 1–7, sequential</w:t>
            </w:r>
          </w:p>
        </w:tc>
      </w:tr>
      <w:tr>
        <w:tc>
          <w:tcPr>
            <w:tcW w:type="dxa" w:w="2160"/>
          </w:tcPr>
          <w:p>
            <w:r/>
            <w:r>
              <w:rPr>
                <w:rFonts w:ascii="Times New Roman" w:hAnsi="Times New Roman"/>
                <w:sz w:val="20"/>
              </w:rPr>
              <w:t>Rest</w:t>
            </w:r>
          </w:p>
        </w:tc>
        <w:tc>
          <w:tcPr>
            <w:tcW w:type="dxa" w:w="2016"/>
          </w:tcPr>
          <w:p>
            <w:r/>
            <w:r>
              <w:rPr>
                <w:rFonts w:ascii="Times New Roman" w:hAnsi="Times New Roman"/>
                <w:sz w:val="20"/>
              </w:rPr>
              <w:t>10 ± 2 s</w:t>
            </w:r>
          </w:p>
        </w:tc>
        <w:tc>
          <w:tcPr>
            <w:tcW w:type="dxa" w:w="1440"/>
          </w:tcPr>
          <w:p>
            <w:r/>
            <w:r>
              <w:rPr>
                <w:rFonts w:ascii="Times New Roman" w:hAnsi="Times New Roman"/>
                <w:sz w:val="20"/>
              </w:rPr>
              <w:t>None</w:t>
            </w:r>
          </w:p>
        </w:tc>
        <w:tc>
          <w:tcPr>
            <w:tcW w:type="dxa" w:w="1008"/>
          </w:tcPr>
          <w:p>
            <w:r/>
            <w:r>
              <w:rPr>
                <w:rFonts w:ascii="Times New Roman" w:hAnsi="Times New Roman"/>
                <w:sz w:val="20"/>
              </w:rPr>
              <w:t>10</w:t>
            </w:r>
          </w:p>
        </w:tc>
        <w:tc>
          <w:tcPr>
            <w:tcW w:type="dxa" w:w="3168"/>
          </w:tcPr>
          <w:p>
            <w:r/>
            <w:r>
              <w:rPr>
                <w:rFonts w:ascii="Times New Roman" w:hAnsi="Times New Roman"/>
                <w:sz w:val="20"/>
              </w:rPr>
              <w:t>Fixation; jittered</w:t>
            </w:r>
          </w:p>
        </w:tc>
      </w:tr>
      <w:tr>
        <w:tc>
          <w:tcPr>
            <w:tcW w:type="dxa" w:w="2160"/>
          </w:tcPr>
          <w:p>
            <w:r/>
            <w:r>
              <w:rPr>
                <w:rFonts w:ascii="Times New Roman" w:hAnsi="Times New Roman"/>
                <w:sz w:val="20"/>
              </w:rPr>
              <w:t>Exit survey</w:t>
            </w:r>
          </w:p>
        </w:tc>
        <w:tc>
          <w:tcPr>
            <w:tcW w:type="dxa" w:w="2016"/>
          </w:tcPr>
          <w:p>
            <w:r/>
            <w:r>
              <w:rPr>
                <w:rFonts w:ascii="Times New Roman" w:hAnsi="Times New Roman"/>
                <w:sz w:val="20"/>
              </w:rPr>
              <w:t>Self-paced</w:t>
            </w:r>
          </w:p>
        </w:tc>
        <w:tc>
          <w:tcPr>
            <w:tcW w:type="dxa" w:w="1440"/>
          </w:tcPr>
          <w:p>
            <w:r/>
            <w:r>
              <w:rPr>
                <w:rFonts w:ascii="Times New Roman" w:hAnsi="Times New Roman"/>
                <w:sz w:val="20"/>
              </w:rPr>
              <w:t>None</w:t>
            </w:r>
          </w:p>
        </w:tc>
        <w:tc>
          <w:tcPr>
            <w:tcW w:type="dxa" w:w="1008"/>
          </w:tcPr>
          <w:p>
            <w:r/>
            <w:r>
              <w:rPr>
                <w:rFonts w:ascii="Times New Roman" w:hAnsi="Times New Roman"/>
                <w:sz w:val="20"/>
              </w:rPr>
              <w:t>1</w:t>
            </w:r>
          </w:p>
        </w:tc>
        <w:tc>
          <w:tcPr>
            <w:tcW w:type="dxa" w:w="3168"/>
          </w:tcPr>
          <w:p>
            <w:r/>
            <w:r>
              <w:rPr>
                <w:rFonts w:ascii="Times New Roman" w:hAnsi="Times New Roman"/>
                <w:sz w:val="20"/>
              </w:rPr>
              <w:t>Q4 credibility (keys 1–7)</w:t>
            </w:r>
          </w:p>
        </w:tc>
      </w:tr>
    </w:tbl>
    <w:p/>
    <w:p>
      <w:pPr>
        <w:pStyle w:val="Heading2"/>
      </w:pPr>
      <w:r>
        <w:t>fNIRS Acquisition and Marker Synchronization</w:t>
      </w:r>
    </w:p>
    <w:p>
      <w:r>
        <w:rPr>
          <w:b w:val="0"/>
          <w:i w:val="0"/>
        </w:rPr>
        <w:t>At every phase and response onset, PsychoPy emitted a string marker over Lab Streaming Layer (LSL stream "PsychoPyMarkers"; when LSL was unavailable a no-op outlet was substituted) and concurrently wrote a timestamped event to a per-session CSV log. Each event also carried an integer code (Table 3) so that markers could be inserted post hoc into the auxiliary channel of the SNIRF recording for offline alignment; markers were spaced by at least [≥ 0.12] s to prevent collapse. Behavioral responses, per-block condition metadata (condition label, target BPM, deviation, acceleration flag, modality), and covariates were saved to the PsychoPy wide-format CSV and .psydat files.</w:t>
      </w:r>
    </w:p>
    <w:p>
      <w:r>
        <w:rPr>
          <w:b/>
          <w:i w:val="0"/>
        </w:rPr>
        <w:t>Table 3</w:t>
      </w:r>
    </w:p>
    <w:p>
      <w:r>
        <w:rPr>
          <w:b w:val="0"/>
          <w:i/>
          <w:sz w:val="18"/>
        </w:rPr>
        <w:t>Event markers and integer codes emitted during the task.</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fill="D9E2F3"/>
          </w:tcPr>
          <w:p>
            <w:r/>
            <w:r>
              <w:rPr>
                <w:rFonts w:ascii="Times New Roman" w:hAnsi="Times New Roman"/>
                <w:b/>
                <w:sz w:val="20"/>
              </w:rPr>
              <w:t>Event</w:t>
            </w:r>
          </w:p>
        </w:tc>
        <w:tc>
          <w:tcPr>
            <w:tcW w:type="dxa" w:w="2880"/>
            <w:shd w:val="clear" w:fill="D9E2F3"/>
          </w:tcPr>
          <w:p>
            <w:r/>
            <w:r>
              <w:rPr>
                <w:rFonts w:ascii="Times New Roman" w:hAnsi="Times New Roman"/>
                <w:b/>
                <w:sz w:val="20"/>
              </w:rPr>
              <w:t>Marker label</w:t>
            </w:r>
          </w:p>
        </w:tc>
        <w:tc>
          <w:tcPr>
            <w:tcW w:type="dxa" w:w="1296"/>
            <w:shd w:val="clear" w:fill="D9E2F3"/>
          </w:tcPr>
          <w:p>
            <w:r/>
            <w:r>
              <w:rPr>
                <w:rFonts w:ascii="Times New Roman" w:hAnsi="Times New Roman"/>
                <w:b/>
                <w:sz w:val="20"/>
              </w:rPr>
              <w:t>Code</w:t>
            </w:r>
          </w:p>
        </w:tc>
      </w:tr>
      <w:tr>
        <w:tc>
          <w:tcPr>
            <w:tcW w:type="dxa" w:w="4320"/>
          </w:tcPr>
          <w:p>
            <w:r/>
            <w:r>
              <w:rPr>
                <w:rFonts w:ascii="Times New Roman" w:hAnsi="Times New Roman"/>
                <w:sz w:val="20"/>
              </w:rPr>
              <w:t>Practice onset</w:t>
            </w:r>
          </w:p>
        </w:tc>
        <w:tc>
          <w:tcPr>
            <w:tcW w:type="dxa" w:w="2880"/>
          </w:tcPr>
          <w:p>
            <w:r/>
            <w:r>
              <w:rPr>
                <w:rFonts w:ascii="Times New Roman" w:hAnsi="Times New Roman"/>
                <w:sz w:val="20"/>
              </w:rPr>
              <w:t>practice</w:t>
            </w:r>
          </w:p>
        </w:tc>
        <w:tc>
          <w:tcPr>
            <w:tcW w:type="dxa" w:w="1296"/>
          </w:tcPr>
          <w:p>
            <w:r/>
            <w:r>
              <w:rPr>
                <w:rFonts w:ascii="Times New Roman" w:hAnsi="Times New Roman"/>
                <w:sz w:val="20"/>
              </w:rPr>
              <w:t>5</w:t>
            </w:r>
          </w:p>
        </w:tc>
      </w:tr>
      <w:tr>
        <w:tc>
          <w:tcPr>
            <w:tcW w:type="dxa" w:w="4320"/>
          </w:tcPr>
          <w:p>
            <w:r/>
            <w:r>
              <w:rPr>
                <w:rFonts w:ascii="Times New Roman" w:hAnsi="Times New Roman"/>
                <w:sz w:val="20"/>
              </w:rPr>
              <w:t>Condition C1 stimulus onset</w:t>
            </w:r>
          </w:p>
        </w:tc>
        <w:tc>
          <w:tcPr>
            <w:tcW w:type="dxa" w:w="2880"/>
          </w:tcPr>
          <w:p>
            <w:r/>
            <w:r>
              <w:rPr>
                <w:rFonts w:ascii="Times New Roman" w:hAnsi="Times New Roman"/>
                <w:sz w:val="20"/>
              </w:rPr>
              <w:t>C1_53</w:t>
            </w:r>
          </w:p>
        </w:tc>
        <w:tc>
          <w:tcPr>
            <w:tcW w:type="dxa" w:w="1296"/>
          </w:tcPr>
          <w:p>
            <w:r/>
            <w:r>
              <w:rPr>
                <w:rFonts w:ascii="Times New Roman" w:hAnsi="Times New Roman"/>
                <w:sz w:val="20"/>
              </w:rPr>
              <w:t>61</w:t>
            </w:r>
          </w:p>
        </w:tc>
      </w:tr>
      <w:tr>
        <w:tc>
          <w:tcPr>
            <w:tcW w:type="dxa" w:w="4320"/>
          </w:tcPr>
          <w:p>
            <w:r/>
            <w:r>
              <w:rPr>
                <w:rFonts w:ascii="Times New Roman" w:hAnsi="Times New Roman"/>
                <w:sz w:val="20"/>
              </w:rPr>
              <w:t>Condition C2 stimulus onset</w:t>
            </w:r>
          </w:p>
        </w:tc>
        <w:tc>
          <w:tcPr>
            <w:tcW w:type="dxa" w:w="2880"/>
          </w:tcPr>
          <w:p>
            <w:r/>
            <w:r>
              <w:rPr>
                <w:rFonts w:ascii="Times New Roman" w:hAnsi="Times New Roman"/>
                <w:sz w:val="20"/>
              </w:rPr>
              <w:t>C2_60</w:t>
            </w:r>
          </w:p>
        </w:tc>
        <w:tc>
          <w:tcPr>
            <w:tcW w:type="dxa" w:w="1296"/>
          </w:tcPr>
          <w:p>
            <w:r/>
            <w:r>
              <w:rPr>
                <w:rFonts w:ascii="Times New Roman" w:hAnsi="Times New Roman"/>
                <w:sz w:val="20"/>
              </w:rPr>
              <w:t>62</w:t>
            </w:r>
          </w:p>
        </w:tc>
      </w:tr>
      <w:tr>
        <w:tc>
          <w:tcPr>
            <w:tcW w:type="dxa" w:w="4320"/>
          </w:tcPr>
          <w:p>
            <w:r/>
            <w:r>
              <w:rPr>
                <w:rFonts w:ascii="Times New Roman" w:hAnsi="Times New Roman"/>
                <w:sz w:val="20"/>
              </w:rPr>
              <w:t>Condition C3 stimulus onset</w:t>
            </w:r>
          </w:p>
        </w:tc>
        <w:tc>
          <w:tcPr>
            <w:tcW w:type="dxa" w:w="2880"/>
          </w:tcPr>
          <w:p>
            <w:r/>
            <w:r>
              <w:rPr>
                <w:rFonts w:ascii="Times New Roman" w:hAnsi="Times New Roman"/>
                <w:sz w:val="20"/>
              </w:rPr>
              <w:t>C3_70</w:t>
            </w:r>
          </w:p>
        </w:tc>
        <w:tc>
          <w:tcPr>
            <w:tcW w:type="dxa" w:w="1296"/>
          </w:tcPr>
          <w:p>
            <w:r/>
            <w:r>
              <w:rPr>
                <w:rFonts w:ascii="Times New Roman" w:hAnsi="Times New Roman"/>
                <w:sz w:val="20"/>
              </w:rPr>
              <w:t>63</w:t>
            </w:r>
          </w:p>
        </w:tc>
      </w:tr>
      <w:tr>
        <w:tc>
          <w:tcPr>
            <w:tcW w:type="dxa" w:w="4320"/>
          </w:tcPr>
          <w:p>
            <w:r/>
            <w:r>
              <w:rPr>
                <w:rFonts w:ascii="Times New Roman" w:hAnsi="Times New Roman"/>
                <w:sz w:val="20"/>
              </w:rPr>
              <w:t>Condition C4 stimulus onset</w:t>
            </w:r>
          </w:p>
        </w:tc>
        <w:tc>
          <w:tcPr>
            <w:tcW w:type="dxa" w:w="2880"/>
          </w:tcPr>
          <w:p>
            <w:r/>
            <w:r>
              <w:rPr>
                <w:rFonts w:ascii="Times New Roman" w:hAnsi="Times New Roman"/>
                <w:sz w:val="20"/>
              </w:rPr>
              <w:t>C4_81</w:t>
            </w:r>
          </w:p>
        </w:tc>
        <w:tc>
          <w:tcPr>
            <w:tcW w:type="dxa" w:w="1296"/>
          </w:tcPr>
          <w:p>
            <w:r/>
            <w:r>
              <w:rPr>
                <w:rFonts w:ascii="Times New Roman" w:hAnsi="Times New Roman"/>
                <w:sz w:val="20"/>
              </w:rPr>
              <w:t>64</w:t>
            </w:r>
          </w:p>
        </w:tc>
      </w:tr>
      <w:tr>
        <w:tc>
          <w:tcPr>
            <w:tcW w:type="dxa" w:w="4320"/>
          </w:tcPr>
          <w:p>
            <w:r/>
            <w:r>
              <w:rPr>
                <w:rFonts w:ascii="Times New Roman" w:hAnsi="Times New Roman"/>
                <w:sz w:val="20"/>
              </w:rPr>
              <w:t>Condition C5 stimulus onset</w:t>
            </w:r>
          </w:p>
        </w:tc>
        <w:tc>
          <w:tcPr>
            <w:tcW w:type="dxa" w:w="2880"/>
          </w:tcPr>
          <w:p>
            <w:r/>
            <w:r>
              <w:rPr>
                <w:rFonts w:ascii="Times New Roman" w:hAnsi="Times New Roman"/>
                <w:sz w:val="20"/>
              </w:rPr>
              <w:t>C5_88</w:t>
            </w:r>
          </w:p>
        </w:tc>
        <w:tc>
          <w:tcPr>
            <w:tcW w:type="dxa" w:w="1296"/>
          </w:tcPr>
          <w:p>
            <w:r/>
            <w:r>
              <w:rPr>
                <w:rFonts w:ascii="Times New Roman" w:hAnsi="Times New Roman"/>
                <w:sz w:val="20"/>
              </w:rPr>
              <w:t>65</w:t>
            </w:r>
          </w:p>
        </w:tc>
      </w:tr>
      <w:tr>
        <w:tc>
          <w:tcPr>
            <w:tcW w:type="dxa" w:w="4320"/>
          </w:tcPr>
          <w:p>
            <w:r/>
            <w:r>
              <w:rPr>
                <w:rFonts w:ascii="Times New Roman" w:hAnsi="Times New Roman"/>
                <w:sz w:val="20"/>
              </w:rPr>
              <w:t>Stimulus offset</w:t>
            </w:r>
          </w:p>
        </w:tc>
        <w:tc>
          <w:tcPr>
            <w:tcW w:type="dxa" w:w="2880"/>
          </w:tcPr>
          <w:p>
            <w:r/>
            <w:r>
              <w:rPr>
                <w:rFonts w:ascii="Times New Roman" w:hAnsi="Times New Roman"/>
                <w:sz w:val="20"/>
              </w:rPr>
              <w:t>stim_off</w:t>
            </w:r>
          </w:p>
        </w:tc>
        <w:tc>
          <w:tcPr>
            <w:tcW w:type="dxa" w:w="1296"/>
          </w:tcPr>
          <w:p>
            <w:r/>
            <w:r>
              <w:rPr>
                <w:rFonts w:ascii="Times New Roman" w:hAnsi="Times New Roman"/>
                <w:sz w:val="20"/>
              </w:rPr>
              <w:t>71</w:t>
            </w:r>
          </w:p>
        </w:tc>
      </w:tr>
      <w:tr>
        <w:tc>
          <w:tcPr>
            <w:tcW w:type="dxa" w:w="4320"/>
          </w:tcPr>
          <w:p>
            <w:r/>
            <w:r>
              <w:rPr>
                <w:rFonts w:ascii="Times New Roman" w:hAnsi="Times New Roman"/>
                <w:sz w:val="20"/>
              </w:rPr>
              <w:t>Assessment onset</w:t>
            </w:r>
          </w:p>
        </w:tc>
        <w:tc>
          <w:tcPr>
            <w:tcW w:type="dxa" w:w="2880"/>
          </w:tcPr>
          <w:p>
            <w:r/>
            <w:r>
              <w:rPr>
                <w:rFonts w:ascii="Times New Roman" w:hAnsi="Times New Roman"/>
                <w:sz w:val="20"/>
              </w:rPr>
              <w:t>assess</w:t>
            </w:r>
          </w:p>
        </w:tc>
        <w:tc>
          <w:tcPr>
            <w:tcW w:type="dxa" w:w="1296"/>
          </w:tcPr>
          <w:p>
            <w:r/>
            <w:r>
              <w:rPr>
                <w:rFonts w:ascii="Times New Roman" w:hAnsi="Times New Roman"/>
                <w:sz w:val="20"/>
              </w:rPr>
              <w:t>80</w:t>
            </w:r>
          </w:p>
        </w:tc>
      </w:tr>
      <w:tr>
        <w:tc>
          <w:tcPr>
            <w:tcW w:type="dxa" w:w="4320"/>
          </w:tcPr>
          <w:p>
            <w:r/>
            <w:r>
              <w:rPr>
                <w:rFonts w:ascii="Times New Roman" w:hAnsi="Times New Roman"/>
                <w:sz w:val="20"/>
              </w:rPr>
              <w:t>Assessment offset</w:t>
            </w:r>
          </w:p>
        </w:tc>
        <w:tc>
          <w:tcPr>
            <w:tcW w:type="dxa" w:w="2880"/>
          </w:tcPr>
          <w:p>
            <w:r/>
            <w:r>
              <w:rPr>
                <w:rFonts w:ascii="Times New Roman" w:hAnsi="Times New Roman"/>
                <w:sz w:val="20"/>
              </w:rPr>
              <w:t>assess_off</w:t>
            </w:r>
          </w:p>
        </w:tc>
        <w:tc>
          <w:tcPr>
            <w:tcW w:type="dxa" w:w="1296"/>
          </w:tcPr>
          <w:p>
            <w:r/>
            <w:r>
              <w:rPr>
                <w:rFonts w:ascii="Times New Roman" w:hAnsi="Times New Roman"/>
                <w:sz w:val="20"/>
              </w:rPr>
              <w:t>81</w:t>
            </w:r>
          </w:p>
        </w:tc>
      </w:tr>
      <w:tr>
        <w:tc>
          <w:tcPr>
            <w:tcW w:type="dxa" w:w="4320"/>
          </w:tcPr>
          <w:p>
            <w:r/>
            <w:r>
              <w:rPr>
                <w:rFonts w:ascii="Times New Roman" w:hAnsi="Times New Roman"/>
                <w:sz w:val="20"/>
              </w:rPr>
              <w:t>Q1 (similarity) response</w:t>
            </w:r>
          </w:p>
        </w:tc>
        <w:tc>
          <w:tcPr>
            <w:tcW w:type="dxa" w:w="2880"/>
          </w:tcPr>
          <w:p>
            <w:r/>
            <w:r>
              <w:rPr>
                <w:rFonts w:ascii="Times New Roman" w:hAnsi="Times New Roman"/>
                <w:sz w:val="20"/>
              </w:rPr>
              <w:t>q1:&lt;value&gt;</w:t>
            </w:r>
          </w:p>
        </w:tc>
        <w:tc>
          <w:tcPr>
            <w:tcW w:type="dxa" w:w="1296"/>
          </w:tcPr>
          <w:p>
            <w:r/>
            <w:r>
              <w:rPr>
                <w:rFonts w:ascii="Times New Roman" w:hAnsi="Times New Roman"/>
                <w:sz w:val="20"/>
              </w:rPr>
              <w:t>82</w:t>
            </w:r>
          </w:p>
        </w:tc>
      </w:tr>
      <w:tr>
        <w:tc>
          <w:tcPr>
            <w:tcW w:type="dxa" w:w="4320"/>
          </w:tcPr>
          <w:p>
            <w:r/>
            <w:r>
              <w:rPr>
                <w:rFonts w:ascii="Times New Roman" w:hAnsi="Times New Roman"/>
                <w:sz w:val="20"/>
              </w:rPr>
              <w:t>Q2 (comfort) response</w:t>
            </w:r>
          </w:p>
        </w:tc>
        <w:tc>
          <w:tcPr>
            <w:tcW w:type="dxa" w:w="2880"/>
          </w:tcPr>
          <w:p>
            <w:r/>
            <w:r>
              <w:rPr>
                <w:rFonts w:ascii="Times New Roman" w:hAnsi="Times New Roman"/>
                <w:sz w:val="20"/>
              </w:rPr>
              <w:t>q2:&lt;value&gt;</w:t>
            </w:r>
          </w:p>
        </w:tc>
        <w:tc>
          <w:tcPr>
            <w:tcW w:type="dxa" w:w="1296"/>
          </w:tcPr>
          <w:p>
            <w:r/>
            <w:r>
              <w:rPr>
                <w:rFonts w:ascii="Times New Roman" w:hAnsi="Times New Roman"/>
                <w:sz w:val="20"/>
              </w:rPr>
              <w:t>83</w:t>
            </w:r>
          </w:p>
        </w:tc>
      </w:tr>
      <w:tr>
        <w:tc>
          <w:tcPr>
            <w:tcW w:type="dxa" w:w="4320"/>
          </w:tcPr>
          <w:p>
            <w:r/>
            <w:r>
              <w:rPr>
                <w:rFonts w:ascii="Times New Roman" w:hAnsi="Times New Roman"/>
                <w:sz w:val="20"/>
              </w:rPr>
              <w:t>Q3 (discomfort) response</w:t>
            </w:r>
          </w:p>
        </w:tc>
        <w:tc>
          <w:tcPr>
            <w:tcW w:type="dxa" w:w="2880"/>
          </w:tcPr>
          <w:p>
            <w:r/>
            <w:r>
              <w:rPr>
                <w:rFonts w:ascii="Times New Roman" w:hAnsi="Times New Roman"/>
                <w:sz w:val="20"/>
              </w:rPr>
              <w:t>q3:&lt;value&gt;</w:t>
            </w:r>
          </w:p>
        </w:tc>
        <w:tc>
          <w:tcPr>
            <w:tcW w:type="dxa" w:w="1296"/>
          </w:tcPr>
          <w:p>
            <w:r/>
            <w:r>
              <w:rPr>
                <w:rFonts w:ascii="Times New Roman" w:hAnsi="Times New Roman"/>
                <w:sz w:val="20"/>
              </w:rPr>
              <w:t>84</w:t>
            </w:r>
          </w:p>
        </w:tc>
      </w:tr>
      <w:tr>
        <w:tc>
          <w:tcPr>
            <w:tcW w:type="dxa" w:w="4320"/>
          </w:tcPr>
          <w:p>
            <w:r/>
            <w:r>
              <w:rPr>
                <w:rFonts w:ascii="Times New Roman" w:hAnsi="Times New Roman"/>
                <w:sz w:val="20"/>
              </w:rPr>
              <w:t>Q4 (credibility) response</w:t>
            </w:r>
          </w:p>
        </w:tc>
        <w:tc>
          <w:tcPr>
            <w:tcW w:type="dxa" w:w="2880"/>
          </w:tcPr>
          <w:p>
            <w:r/>
            <w:r>
              <w:rPr>
                <w:rFonts w:ascii="Times New Roman" w:hAnsi="Times New Roman"/>
                <w:sz w:val="20"/>
              </w:rPr>
              <w:t>credibility:&lt;value&gt;</w:t>
            </w:r>
          </w:p>
        </w:tc>
        <w:tc>
          <w:tcPr>
            <w:tcW w:type="dxa" w:w="1296"/>
          </w:tcPr>
          <w:p>
            <w:r/>
            <w:r>
              <w:rPr>
                <w:rFonts w:ascii="Times New Roman" w:hAnsi="Times New Roman"/>
                <w:sz w:val="20"/>
              </w:rPr>
              <w:t>90</w:t>
            </w:r>
          </w:p>
        </w:tc>
      </w:tr>
      <w:tr>
        <w:tc>
          <w:tcPr>
            <w:tcW w:type="dxa" w:w="4320"/>
          </w:tcPr>
          <w:p>
            <w:r/>
            <w:r>
              <w:rPr>
                <w:rFonts w:ascii="Times New Roman" w:hAnsi="Times New Roman"/>
                <w:sz w:val="20"/>
              </w:rPr>
              <w:t>End of experiment</w:t>
            </w:r>
          </w:p>
        </w:tc>
        <w:tc>
          <w:tcPr>
            <w:tcW w:type="dxa" w:w="2880"/>
          </w:tcPr>
          <w:p>
            <w:r/>
            <w:r>
              <w:rPr>
                <w:rFonts w:ascii="Times New Roman" w:hAnsi="Times New Roman"/>
                <w:sz w:val="20"/>
              </w:rPr>
              <w:t>experiment_end</w:t>
            </w:r>
          </w:p>
        </w:tc>
        <w:tc>
          <w:tcPr>
            <w:tcW w:type="dxa" w:w="1296"/>
          </w:tcPr>
          <w:p>
            <w:r/>
            <w:r>
              <w:rPr>
                <w:rFonts w:ascii="Times New Roman" w:hAnsi="Times New Roman"/>
                <w:sz w:val="20"/>
              </w:rPr>
              <w:t>99</w:t>
            </w:r>
          </w:p>
        </w:tc>
      </w:tr>
    </w:tbl>
    <w:p/>
    <w:p>
      <w:pPr>
        <w:pStyle w:val="Heading2"/>
      </w:pPr>
      <w:r>
        <w:t>Software and Reproducibility</w:t>
      </w:r>
    </w:p>
    <w:p>
      <w:r>
        <w:rPr>
          <w:b w:val="0"/>
          <w:i w:val="0"/>
        </w:rPr>
        <w:t>The experiment was built programmatically from a Python generator script (_build_fcf.py) using the PsychoPy Experiment API, which emits a Builder-compatible experiment file (fNIRS_FalseCardiacFeedback.psyexp) and a compiled run script (fNIRS_FalseCardiacFeedback_lastrun.py). The fixed-rate auditory engine and the visual pulsing-heart renderer are provided by the biofeedback_inline and ecg_renderer modules, respectively. The session-specific block order is regenerated deterministically from the participant number, so any participant’s sequence can be reconstructed exactly. The experiment files, generator script, and feedback engine are available in the project repository (branch fcf-experiment) at https://github.com/evansuhohyun-927/Yonsei-University_COG3102_biofeedback_win.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